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jpg" ContentType="image/jpeg"/>
  <Override PartName="/word/media/rId105.jpg" ContentType="image/jpeg"/>
  <Override PartName="/word/media/rId111.jpg" ContentType="image/jpeg"/>
  <Override PartName="/word/media/rId107.jpg" ContentType="image/jpeg"/>
  <Override PartName="/word/media/rId109.jpg" ContentType="image/jpeg"/>
  <Override PartName="/word/media/rId115.jpg" ContentType="image/jpeg"/>
  <Override PartName="/word/media/rId113.jpg" ContentType="image/jpeg"/>
  <Override PartName="/word/media/rId99.jpg" ContentType="image/jpeg"/>
  <Override PartName="/word/media/rId103.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Title:</w:t>
      </w:r>
      <w:r>
        <w:t xml:space="preserve"> </w:t>
      </w:r>
      <w:r>
        <w:t xml:space="preserve">Analyzing</w:t>
      </w:r>
      <w:r>
        <w:t xml:space="preserve"> </w:t>
      </w:r>
      <w:r>
        <w:t xml:space="preserve">and</w:t>
      </w:r>
      <w:r>
        <w:t xml:space="preserve"> </w:t>
      </w:r>
      <w:r>
        <w:t xml:space="preserve">comparing</w:t>
      </w:r>
      <w:r>
        <w:t xml:space="preserve"> </w:t>
      </w:r>
      <w:r>
        <w:t xml:space="preserve">long-term</w:t>
      </w:r>
      <w:r>
        <w:t xml:space="preserve"> </w:t>
      </w:r>
      <w:r>
        <w:t xml:space="preserve">water</w:t>
      </w:r>
      <w:r>
        <w:t xml:space="preserve"> </w:t>
      </w:r>
      <w:r>
        <w:t xml:space="preserve">quality</w:t>
      </w:r>
      <w:r>
        <w:t xml:space="preserve"> </w:t>
      </w:r>
      <w:r>
        <w:t xml:space="preserve">of</w:t>
      </w:r>
      <w:r>
        <w:t xml:space="preserve"> </w:t>
      </w:r>
      <w:r>
        <w:t xml:space="preserve">lakes</w:t>
      </w:r>
      <w:r>
        <w:t xml:space="preserve"> </w:t>
      </w:r>
      <w:r>
        <w:t xml:space="preserve">and</w:t>
      </w:r>
      <w:r>
        <w:t xml:space="preserve"> </w:t>
      </w:r>
      <w:r>
        <w:t xml:space="preserve">reservoirs</w:t>
      </w:r>
      <w:r>
        <w:t xml:space="preserve"> </w:t>
      </w:r>
      <w:r>
        <w:t xml:space="preserve">in</w:t>
      </w:r>
      <w:r>
        <w:t xml:space="preserve"> </w:t>
      </w:r>
      <w:r>
        <w:t xml:space="preserve">Rhode</w:t>
      </w:r>
      <w:r>
        <w:t xml:space="preserve"> </w:t>
      </w:r>
      <w:r>
        <w:t xml:space="preserve">Island</w:t>
      </w:r>
      <w:r>
        <w:t xml:space="preserve"> </w:t>
      </w:r>
      <w:r>
        <w:t xml:space="preserve">and</w:t>
      </w:r>
      <w:r>
        <w:t xml:space="preserve"> </w:t>
      </w:r>
      <w:r>
        <w:t xml:space="preserve">the</w:t>
      </w:r>
      <w:r>
        <w:t xml:space="preserve"> </w:t>
      </w:r>
      <w:r>
        <w:t xml:space="preserve">Northeastern</w:t>
      </w:r>
      <w:r>
        <w:t xml:space="preserve"> </w:t>
      </w:r>
      <w:r>
        <w:t xml:space="preserve">United</w:t>
      </w:r>
      <w:r>
        <w:t xml:space="preserve"> </w:t>
      </w:r>
      <w:r>
        <w:t xml:space="preserve">States</w:t>
      </w:r>
      <w:r>
        <w:t xml:space="preserve"> </w:t>
      </w:r>
      <w:r>
        <w:t xml:space="preserve">using</w:t>
      </w:r>
      <w:r>
        <w:t xml:space="preserve"> </w:t>
      </w:r>
      <w:r>
        <w:t xml:space="preserve">an</w:t>
      </w:r>
      <w:r>
        <w:t xml:space="preserve"> </w:t>
      </w:r>
      <w:r>
        <w:t xml:space="preserve">anomaly</w:t>
      </w:r>
      <w:r>
        <w:t xml:space="preserve"> </w:t>
      </w:r>
      <w:r>
        <w:t xml:space="preserve">approach</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b/>
        </w:rPr>
        <w:t xml:space="preserve">Corresponding</w:t>
      </w:r>
      <w:r>
        <w:rPr>
          <w:b/>
        </w:rPr>
        <w:t xml:space="preserve"> </w:t>
      </w:r>
      <w:r>
        <w:rPr>
          <w:b/>
        </w:rPr>
        <w:t xml:space="preserve">author:</w:t>
      </w:r>
      <w:r>
        <w:rPr>
          <w:b/>
        </w:rPr>
        <w:t xml:space="preserve"> </w:t>
      </w:r>
      <w:hyperlink r:id="rId20">
        <w:r>
          <w:rPr>
            <w:rStyle w:val="Hyperlink"/>
            <w:b/>
          </w:rPr>
          <w:t xml:space="preserve">hollister.jeff@epa.gov</w:t>
        </w:r>
      </w:hyperlink>
    </w:p>
    <w:p>
      <w:pPr>
        <w:pStyle w:val="Abstract"/>
      </w:pPr>
      <w:r>
        <w:rPr>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scales,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
        </w:rPr>
        <w:t xml:space="preserve">Keywords:</w:t>
      </w:r>
      <w:r>
        <w:t xml:space="preserve"> </w:t>
      </w:r>
      <w:r>
        <w:t xml:space="preserve">Volunteer</w:t>
      </w:r>
      <w:r>
        <w:t xml:space="preserve"> </w:t>
      </w:r>
      <w:r>
        <w:t xml:space="preserve">Monitoring,</w:t>
      </w:r>
      <w:r>
        <w:t xml:space="preserve"> </w:t>
      </w:r>
      <w:r>
        <w:t xml:space="preserve">Citizen</w:t>
      </w:r>
      <w:r>
        <w:t xml:space="preserve"> </w:t>
      </w:r>
      <w:r>
        <w:t xml:space="preserve">Science,</w:t>
      </w:r>
      <w:r>
        <w:t xml:space="preserve"> </w:t>
      </w:r>
      <w:r>
        <w:t xml:space="preserve">Nutrients,</w:t>
      </w:r>
      <w:r>
        <w:t xml:space="preserve"> </w:t>
      </w:r>
      <w:r>
        <w:t xml:space="preserve">Lakes,</w:t>
      </w:r>
      <w:r>
        <w:t xml:space="preserve"> </w:t>
      </w:r>
      <w:r>
        <w:t xml:space="preserve">Trend</w:t>
      </w:r>
      <w:r>
        <w:t xml:space="preserve"> </w:t>
      </w:r>
      <w:r>
        <w:t xml:space="preserve">Analysis,</w:t>
      </w:r>
      <w:r>
        <w:t xml:space="preserve"> </w:t>
      </w:r>
      <w:r>
        <w:t xml:space="preserve">Long</w:t>
      </w:r>
      <w:r>
        <w:t xml:space="preserve"> </w:t>
      </w:r>
      <w:r>
        <w:t xml:space="preserve">Term</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follows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(Soranno et al. 2017, 2019, Stachelek and Oliver 2017, Hollister et al. 2019)</w:t>
      </w:r>
      <w:r>
        <w:t xml:space="preserve">.</w:t>
      </w:r>
    </w:p>
    <w:p>
      <w:pPr>
        <w:pStyle w:val="Heading1"/>
      </w:pPr>
      <w:bookmarkStart w:id="24" w:name="methods"/>
      <w:r>
        <w:t xml:space="preserve">Methods</w:t>
      </w:r>
      <w:bookmarkEnd w:id="24"/>
    </w:p>
    <w:p>
      <w:pPr>
        <w:pStyle w:val="Heading2"/>
      </w:pPr>
      <w:bookmarkStart w:id="25" w:name="study-area-and-data"/>
      <w:r>
        <w:t xml:space="preserve">Study Area and Data</w:t>
      </w:r>
      <w:bookmarkEnd w:id="25"/>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sites that matched the following criteria: 1) were sampled between 1993 and 2016, 2) were sampled in May to October, 3) had at least one sampling event in each of May/June, July/August, and September/October, 4) had at least one sampling event from 1993-2004 and 2005-2016, 5)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2019,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selction criteria on the LAGOSNE dataset as was applied to the URIWW data. The LAGOSNE data do not extend beyond 2013 thus sites needed to have a sampling event in 1993-2002 and in 2003-2013.</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mean over a pre-determined reference period. This allowed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r>
        <w:t xml:space="preserve">.</w:t>
      </w:r>
    </w:p>
    <w:p>
      <w:pPr>
        <w:pStyle w:val="BodyText"/>
      </w:pPr>
      <w:r>
        <w:rPr>
          <w:i/>
        </w:rPr>
        <w:t xml:space="preserve">Summarizing site-specific anomalies:</w:t>
      </w:r>
      <w:r>
        <w:t xml:space="preserve"> </w:t>
      </w:r>
      <w:r>
        <w:t xml:space="preserve">Methods for calculating the site-specific anomalies and the yearly means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for each site. This results in a single long-term mean for each of the sites.</w:t>
      </w:r>
    </w:p>
    <w:p>
      <w:pPr>
        <w:pStyle w:val="Compact"/>
        <w:numPr>
          <w:numId w:val="1001"/>
          <w:ilvl w:val="0"/>
        </w:numPr>
      </w:pPr>
      <w:r>
        <w:t xml:space="preserve">Calculate the anomaly for each annual mean at each site by subtracting the annual and reference means.</w:t>
      </w:r>
    </w:p>
    <w:p>
      <w:pPr>
        <w:pStyle w:val="Compact"/>
        <w:numPr>
          <w:numId w:val="1001"/>
          <w:ilvl w:val="0"/>
        </w:numPr>
      </w:pPr>
      <w:r>
        <w:t xml:space="preserve">Summarize by calculating the mean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data(Table 1) and late in the time frame for the LAGOSNE data (Table 2).</w:t>
      </w:r>
    </w:p>
    <w:p>
      <w:pPr>
        <w:pStyle w:val="BodyText"/>
      </w:pPr>
      <w:r>
        <w:rPr>
          <w:i/>
        </w:rPr>
        <w:t xml:space="preserve">Linear regression on annual mean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mean yearly change of that parameter over the time period studied.</w:t>
      </w:r>
    </w:p>
    <w:p>
      <w:pPr>
        <w:pStyle w:val="BodyText"/>
      </w:pPr>
      <w:r>
        <w:rPr>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are defining a trend as positive or negative with the following; 1) Direction of trend is determined by the sign of the slope, 2) p-value is used to inform interpretation and very small p-values suggest a statistically relevant trend, 3) relative frequency of high and low years in the beginning and end of the time frame, and 4) the magnitude of the slope suggests an ecologically relevant change.</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and similarly, the state of Rhode Island criteria for temperature increase is 2.2°C or 0.022°C per year over a century</w:t>
      </w:r>
      <w:r>
        <w:t xml:space="preserve"> </w:t>
      </w:r>
      <w:r>
        <w:t xml:space="preserve">(2010, “Paris agreement”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 For changes in chlorophyll, total phosphorus, and total nitrogen an ecologically meaningful trend is one that would result in a change from an oligotrophic state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 This level for total phosphorus would also protect against As we have defined it, slope magnitudes in excess of these per year values will be considered to have an ecologically meaningful trend.</w:t>
      </w:r>
    </w:p>
    <w:p>
      <w:pPr>
        <w:pStyle w:val="BodyText"/>
      </w:pPr>
      <w:r>
        <w:rPr>
          <w:i/>
        </w:rPr>
        <w:t xml:space="preserve">Comparison of Rhode Island to the region:</w:t>
      </w:r>
      <w:r>
        <w:t xml:space="preserve"> </w:t>
      </w: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pPr>
        <w:pStyle w:val="Heading1"/>
      </w:pPr>
      <w:bookmarkStart w:id="29" w:name="results"/>
      <w:r>
        <w:t xml:space="preserve">Results</w:t>
      </w:r>
      <w:bookmarkEnd w:id="29"/>
    </w:p>
    <w:p>
      <w:pPr>
        <w:pStyle w:val="FirstParagraph"/>
      </w:pPr>
      <w:r>
        <w:t xml:space="preserve">During the period of 1993 to 2016, Rhode Island lakes and reservoirs in our dataset had a mean lake temperature of 22.1 °C, mean TN of 605 µg/l, mean TP of 23 µg/l, mean TN:TP ratio of 85.03 molar, and mean chlorophyll</w:t>
      </w:r>
      <w:r>
        <w:t xml:space="preserve"> </w:t>
      </w:r>
      <w:r>
        <w:rPr>
          <w:i/>
        </w:rPr>
        <w:t xml:space="preserve">a</w:t>
      </w:r>
      <w:r>
        <w:t xml:space="preserve"> </w:t>
      </w:r>
      <w:r>
        <w:t xml:space="preserve">of 9.5 µg/l (Table 3).</w:t>
      </w:r>
    </w:p>
    <w:p>
      <w:pPr>
        <w:pStyle w:val="BodyText"/>
      </w:pPr>
      <w:r>
        <w:t xml:space="preserve">For lakes and reservoirs in the larger region represented by the LAGOSNE States, mean TN was 730 µg/l, mean TP was 31 µg/l, mean TN:TP ratio was 87.56 molar, and mean chlorophyll</w:t>
      </w:r>
      <w:r>
        <w:t xml:space="preserve"> </w:t>
      </w:r>
      <w:r>
        <w:rPr>
          <w:i/>
        </w:rPr>
        <w:t xml:space="preserve">a</w:t>
      </w:r>
      <w:r>
        <w:t xml:space="preserve"> </w:t>
      </w:r>
      <w:r>
        <w:t xml:space="preserve">was 16.1 µg/l (Table 4).</w:t>
      </w:r>
    </w:p>
    <w:p>
      <w:pPr>
        <w:pStyle w:val="Heading2"/>
      </w:pPr>
      <w:bookmarkStart w:id="30" w:name="state-wide-trends-in-water-quality"/>
      <w:r>
        <w:t xml:space="preserve">State-wide trends in water quality</w:t>
      </w:r>
      <w:bookmarkEnd w:id="30"/>
    </w:p>
    <w:p>
      <w:pPr>
        <w:pStyle w:val="FirstParagraph"/>
      </w:pPr>
      <w:r>
        <w:t xml:space="preserve">Mean annual temperature anomalies in lakes and reservoirs appears to be increasing as the slope is greater than the threshold of 0.02 we identified, the p-value suggests a statistical trend (slope = 0.053 , p = 0.0072), and the majority of years with mean temperature greater than the long-term mean are occurring in recent years (Figure 3). Chlorophyll</w:t>
      </w:r>
      <w:r>
        <w:t xml:space="preserve"> </w:t>
      </w:r>
      <w:r>
        <w:rPr>
          <w:i/>
        </w:rPr>
        <w:t xml:space="preserve">a</w:t>
      </w:r>
      <w:r>
        <w:t xml:space="preserve"> </w:t>
      </w:r>
      <w:r>
        <w:t xml:space="preserve">is also showing an increasing trend over time (slope = 0.3 , p = 0.0000003). The slope of 0.3 μg/L is much greater than our threshold of 0.035 μg/L and the above-average years have all occurred in the most recent years (Figure 4A.).</w:t>
      </w:r>
    </w:p>
    <w:p>
      <w:pPr>
        <w:pStyle w:val="BodyText"/>
      </w:pPr>
      <w:r>
        <w:t xml:space="preserve">Mean annual trends for nutrients were not as clear. For total nitrogen, the slope of the line is positive with some statistical support (slope = 2.8 , p = 0.042) and the years greater than the mean are somewhat more frequent in more recent years. However, a slope of 2.8 μg/L per year is lower than our threshold value of 3.5 μg/L suggesting little support for a meaningful ecological change over time (Figure 5A.). We interpret this as a weak positive trend in TN, but with little ecological impact. Total phosphorus shows a positive trend over time in the yearly anomalies but with somewhat weak statistical support (slope = 0.14 , p = 0.079) and years that are over the mean are more common in recent years (Figure 6A.). Also a change of 0.14 μg/L per year is greater than our defined threshold of 0.1 μg/L and suggests a possible trophic state shift in less than a century. The pattern for the TN:TP ratio has a negative slope but no statistical support for a meaningful trend (slope = -0.13, p = 0.81) suggesting little evidence for a change in the concentrations of TN relative to the concentrations of TP (Figure 7A.). Data for all figures are available as a comma-separated values file,</w:t>
      </w:r>
      <w:r>
        <w:t xml:space="preserve"> </w:t>
      </w:r>
      <w:r>
        <w:rPr>
          <w:rStyle w:val="VerbatimChar"/>
        </w:rPr>
        <w:t xml:space="preserve">yearly_average_anomaly.csv</w:t>
      </w:r>
      <w:r>
        <w:t xml:space="preserve"> </w:t>
      </w:r>
      <w:r>
        <w:t xml:space="preserve">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Heading2"/>
      </w:pPr>
      <w:bookmarkStart w:id="31" w:name="regional-trends-in-water-quality"/>
      <w:r>
        <w:t xml:space="preserve">Regional trends in water quality</w:t>
      </w:r>
      <w:bookmarkEnd w:id="31"/>
    </w:p>
    <w:p>
      <w:pPr>
        <w:pStyle w:val="FirstParagraph"/>
      </w:pPr>
      <w:r>
        <w:t xml:space="preserve">In general, there was little evidence to suggest broad regional changes in chlorophyll</w:t>
      </w:r>
      <w:r>
        <w:t xml:space="preserve"> </w:t>
      </w:r>
      <w:r>
        <w:rPr>
          <w:i/>
        </w:rPr>
        <w:t xml:space="preserve">a</w:t>
      </w:r>
      <w:r>
        <w:t xml:space="preserve"> </w:t>
      </w:r>
      <w:r>
        <w:t xml:space="preserve">as it showed a weak positive trend, little statistical support and above average years spread evenly throughout the time period (slope = 0.072, p = 0.34, Figure 4B.). Total phosphorus showed a slight increasing trend as there is statistical support for a positive trend and the slope could result in a trophic state change over the course of a century (slope = 0.18, p = 0.024, Figure 6B.). Some of this trend is driven by the unusually high average anomaly in the last year. Additional years would indicate if this trend has continued at the regional scale. Total nitrogen showed a slight decreasing trend with weak statistical support and less than the 3.5 μg/L that would result in a trophic state change over a century. There is little support for a meaningful trend in TN at the regional scale (slope = -3.1, p = 0.13, Figure 5B.). Lastly, the TN:TP showed little change (slope = -0.11, p = 0.73, Figure 7B.)</w:t>
      </w:r>
    </w:p>
    <w:p>
      <w:pPr>
        <w:pStyle w:val="Heading1"/>
      </w:pPr>
      <w:bookmarkStart w:id="32" w:name="discussion-and-conclusions"/>
      <w:r>
        <w:t xml:space="preserve">Discussion and Conclusions</w:t>
      </w:r>
      <w:bookmarkEnd w:id="32"/>
    </w:p>
    <w:p>
      <w:pPr>
        <w:pStyle w:val="FirstParagraph"/>
      </w:pPr>
      <w:r>
        <w:t xml:space="preserve">Our sub-regional analysis indicates that increases in primary production, as measured by chlorophyll</w:t>
      </w:r>
      <w:r>
        <w:t xml:space="preserve"> </w:t>
      </w:r>
      <w:r>
        <w:rPr>
          <w:i/>
        </w:rPr>
        <w:t xml:space="preserve">a</w:t>
      </w:r>
      <w:r>
        <w:t xml:space="preserve">, occurred over that ~25 years of our study period. Over the same period we also demonstrate long-term warming of Rhode Island lakes and reservoirs. Chlorophyll has increased, on average, 0.3 μg/L per year over the 23 years of our analysis, while temperature has increased 0.053 °C per year over the same period. Trends in nutrients were less clear with nitrogen showing a slight statistical increase with little ecological importance and phosphorus showing a slight statistical and ecological increase. The nitrogen:phosphorus ratio showed no evidence of a trend. While our analysis is not capable of detecting causation, that both chlorophyll</w:t>
      </w:r>
      <w:r>
        <w:t xml:space="preserve"> </w:t>
      </w:r>
      <w:r>
        <w:rPr>
          <w:i/>
        </w:rPr>
        <w:t xml:space="preserve">a</w:t>
      </w:r>
      <w:r>
        <w:t xml:space="preserve"> </w:t>
      </w:r>
      <w:r>
        <w:t xml:space="preserve">and temperature is increasing with less obvious trends in nutrients is interesting and warrants further exploration to see if increasing chlorophyll</w:t>
      </w:r>
      <w:r>
        <w:t xml:space="preserve"> </w:t>
      </w:r>
      <w:r>
        <w:rPr>
          <w:i/>
        </w:rPr>
        <w:t xml:space="preserve">a</w:t>
      </w:r>
      <w:r>
        <w:t xml:space="preserve"> </w:t>
      </w:r>
      <w:r>
        <w:t xml:space="preserve">can be described by temperature.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33" w:name="trends"/>
      <w:r>
        <w:t xml:space="preserve">Trends</w:t>
      </w:r>
      <w:bookmarkEnd w:id="33"/>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trends in total nutrients and the TN:TP ratio are less clear. While TN showed a weak statistically positive trend, data for the early years (1994-1998) were relatively sparse. There is no ecological or statistical trend in the years with consistently available data. The same pattern holds for total phosphorus. Some evidence for a weak increasing trend, but over the period of 199-2016, that trend disappears. The general picture in Rhode Island appears to be one of a slight increase in phosphorus, a very weak positive trend in nitrogen and little to no change in the TN:TP ratio. Furthermore, it has been shown that productivity in freshwater systems is likely a function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changes in water quality at finer temporal scales, such as monthly or seasonal,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the current trophic state of a given waterbody may partly explain the chlorophyll</w:t>
      </w:r>
      <w:r>
        <w:t xml:space="preserve"> </w:t>
      </w:r>
      <w:r>
        <w:rPr>
          <w:i/>
        </w:rPr>
        <w:t xml:space="preserve">a</w:t>
      </w:r>
      <w:r>
        <w:t xml:space="preserve"> </w:t>
      </w:r>
      <w:r>
        <w:t xml:space="preserve">changes in that lake. For instance, are oligotrophic lakes showing different trends than eutrophic lakes or are all lakes showing similar trends regardless of current trophic status? A full analysis and interpretation of trends by trophic state is beyond the scope of this study. However, we conducted a quick,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warrented. Lastly, there are other possible drivers of these trends that could be analyzed including, changes in rainfall, extreme weather events, other climate mediated factors, or analyses at different spatial scales. The analysis we report in this paper focuses on long term trends at broader scales. It would be possible to use a similar approach to look at trends of individual lakes which could be a first step in trying to identify drivers of increasing chlorophyll. These questions are beyond the scope of this study, but all warrant further investigation.</w:t>
      </w:r>
    </w:p>
    <w:p>
      <w:pPr>
        <w:pStyle w:val="Heading2"/>
      </w:pPr>
      <w:bookmarkStart w:id="34" w:name="management-implications"/>
      <w:r>
        <w:t xml:space="preserve">Management implications</w:t>
      </w:r>
      <w:bookmarkEnd w:id="34"/>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at lake-specific and sub-regional scales and identifies areas where additional information is required or a change in management approaches may be needed. First, as more long-term datasets become available, it is important for managers and stakeholders to receive feedback on long-term water quality trends at multiple spatial scales.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less clear.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w:t>
      </w:r>
      <w:r>
        <w:t xml:space="preserve"> </w:t>
      </w:r>
      <w:r>
        <w:t xml:space="preserve">(Kellogg et al. 2010)</w:t>
      </w:r>
      <w:r>
        <w:t xml:space="preserve">. Green infrastructure approaches are one way to possibly achieve both goals</w:t>
      </w:r>
      <w:r>
        <w:t xml:space="preserve"> </w:t>
      </w:r>
      <w:r>
        <w:t xml:space="preserve">(Pennino et al. 2016, Reisinger et al. 2019)</w:t>
      </w:r>
      <w:r>
        <w:t xml:space="preserve">. Additionally, there is potential for within-lake approaches such as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35" w:name="data-analysis-approach"/>
      <w:r>
        <w:t xml:space="preserve">Data analysis approach</w:t>
      </w:r>
      <w:bookmarkEnd w:id="35"/>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mean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 mean yearly increase of 0.053 °C and the slope of the regression line for chlorophyll</w:t>
      </w:r>
      <w:r>
        <w:t xml:space="preserve"> </w:t>
      </w:r>
      <w:r>
        <w:rPr>
          <w:i/>
        </w:rPr>
        <w:t xml:space="preserve">a</w:t>
      </w:r>
      <w:r>
        <w:t xml:space="preserve"> </w:t>
      </w:r>
      <w:r>
        <w:t xml:space="preserve">shows a mean yearly increase of 0.3 µg/l.</w:t>
      </w:r>
    </w:p>
    <w:p>
      <w:pPr>
        <w:pStyle w:val="BodyText"/>
      </w:pPr>
      <w:r>
        <w:t xml:space="preserve">The site-specific anomalies are also robust to variations in sampling effort and in the timing of inclusion of given sampling locations. For instance, if a site included early in a time period had low values and site included late in the time period, then analyzing the measured values over this time period would show an increase whether or not one existed. Using the site-specific anomalies rescales the values to a common framework and allows the real trend to be seen. We illustrate this with simulated, random data (e.g. no trend) (Figure 8). The average of the yearly measured values shows a trend (slope = 1 and p-value = 0.000084), whereas the site-specific anomalies correctly showed no trend (slope = -0.023 and p-value = 0.87, Figure 9).</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36" w:name="acknowledgments"/>
      <w:r>
        <w:t xml:space="preserve">Acknowledgments</w:t>
      </w:r>
      <w:bookmarkEnd w:id="36"/>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Lastly,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p>
      <w:pPr>
        <w:pStyle w:val="Heading1"/>
      </w:pPr>
      <w:bookmarkStart w:id="37" w:name="bibliography"/>
      <w:r>
        <w:t xml:space="preserve">Bibliography</w:t>
      </w:r>
      <w:bookmarkEnd w:id="37"/>
    </w:p>
    <w:bookmarkStart w:id="94" w:name="refs"/>
    <w:bookmarkStart w:id="38"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38"/>
    <w:bookmarkStart w:id="39"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39"/>
    <w:bookmarkStart w:id="40"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0"/>
    <w:bookmarkStart w:id="41"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1"/>
    <w:bookmarkStart w:id="42"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2"/>
    <w:bookmarkStart w:id="43"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43"/>
    <w:bookmarkStart w:id="44"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44"/>
    <w:bookmarkStart w:id="45" w:name="ref-filippelli2008global"/>
    <w:p>
      <w:pPr>
        <w:pStyle w:val="Bibliography"/>
      </w:pPr>
      <w:r>
        <w:t xml:space="preserve">Filippelli, G. M. 2008. The global phosphorus cycle: Past, present, and future. Elements 4:89–95.</w:t>
      </w:r>
    </w:p>
    <w:bookmarkEnd w:id="45"/>
    <w:bookmarkStart w:id="46"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46"/>
    <w:bookmarkStart w:id="47"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47"/>
    <w:bookmarkStart w:id="48" w:name="ref-finlay2013human"/>
    <w:p>
      <w:pPr>
        <w:pStyle w:val="Bibliography"/>
      </w:pPr>
      <w:r>
        <w:t xml:space="preserve">Finlay, J. C., G. E. Small, and R. W. Sterner. 2013. Human influences on nitrogen removal in lakes. Science 342:247–250.</w:t>
      </w:r>
    </w:p>
    <w:bookmarkEnd w:id="48"/>
    <w:bookmarkStart w:id="49" w:name="ref-hansen2010global"/>
    <w:p>
      <w:pPr>
        <w:pStyle w:val="Bibliography"/>
      </w:pPr>
      <w:r>
        <w:t xml:space="preserve">Hansen, J., R. Ruedy, M. Sato, and K. Lo. 2010. Global surface temperature change. Reviews of Geophysics 48.</w:t>
      </w:r>
    </w:p>
    <w:bookmarkEnd w:id="49"/>
    <w:bookmarkStart w:id="50" w:name="ref-hansen2006global"/>
    <w:p>
      <w:pPr>
        <w:pStyle w:val="Bibliography"/>
      </w:pPr>
      <w:r>
        <w:t xml:space="preserve">Hansen, J., M. Sato, R. Ruedy, K. Lo, D. W. Lea, and M. Medina-Elizade. 2006. Global temperature change. Proceedings of the National Academy of Sciences 103:14288–14293.</w:t>
      </w:r>
    </w:p>
    <w:bookmarkEnd w:id="50"/>
    <w:bookmarkStart w:id="51" w:name="ref-helsel2002statistical"/>
    <w:p>
      <w:pPr>
        <w:pStyle w:val="Bibliography"/>
      </w:pPr>
      <w:r>
        <w:t xml:space="preserve">Helsel, D., and R. Hirsch. 2002. Statistical methods in water resources. Techniques of Water-Resources Investigations Book 4:395.</w:t>
      </w:r>
    </w:p>
    <w:bookmarkEnd w:id="51"/>
    <w:bookmarkStart w:id="52"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52"/>
    <w:bookmarkStart w:id="53" w:name="ref-zenodo_citation"/>
    <w:p>
      <w:pPr>
        <w:pStyle w:val="Bibliography"/>
      </w:pPr>
      <w:r>
        <w:t xml:space="preserve">Hollister, J. W., D. Q. Kellogg, B. J. Kreakie, S. S. Shivers, B. W. Milstead, E. Herron, L. Green, and A. Gold. 2019. GitHub repository for "increasing chlorophyll *a* amid stable nutrient concentrations in rhode island lakes and reservoirs". Zenodo, https://doi.org/10.5281/zenodo.3662828.</w:t>
      </w:r>
    </w:p>
    <w:bookmarkEnd w:id="53"/>
    <w:bookmarkStart w:id="54" w:name="ref-hollister2016modeling"/>
    <w:p>
      <w:pPr>
        <w:pStyle w:val="Bibliography"/>
      </w:pPr>
      <w:r>
        <w:t xml:space="preserve">Hollister, J. W., W. B. Milstead, and B. J. Kreakie. 2016. Modeling lake trophic state: A random forest approach. Ecosphere 7.</w:t>
      </w:r>
    </w:p>
    <w:bookmarkEnd w:id="54"/>
    <w:bookmarkStart w:id="55" w:name="ref-hurlbert1984pseudoreplication"/>
    <w:p>
      <w:pPr>
        <w:pStyle w:val="Bibliography"/>
      </w:pPr>
      <w:r>
        <w:t xml:space="preserve">Hurlbert, S. H. 1984. Pseudoreplication and the design of ecological field experiments. Ecological monographs 54:187–211.</w:t>
      </w:r>
    </w:p>
    <w:bookmarkEnd w:id="55"/>
    <w:bookmarkStart w:id="56" w:name="ref-jones1999surface"/>
    <w:p>
      <w:pPr>
        <w:pStyle w:val="Bibliography"/>
      </w:pPr>
      <w:r>
        <w:t xml:space="preserve">Jones, P. D., M. New, D. E. Parker, S. Martin, and I. G. Rigor. 1999. Surface air temperature and its changes over the past 150 years. Reviews of Geophysics 37:173–199.</w:t>
      </w:r>
    </w:p>
    <w:bookmarkEnd w:id="56"/>
    <w:bookmarkStart w:id="57"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57"/>
    <w:bookmarkStart w:id="58"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58"/>
    <w:bookmarkStart w:id="59" w:name="ref-kosmala2016assessing"/>
    <w:p>
      <w:pPr>
        <w:pStyle w:val="Bibliography"/>
      </w:pPr>
      <w:r>
        <w:t xml:space="preserve">Kosmala, M., A. Wiggins, A. Swanson, and B. Simmons. 2016. Assessing data quality in citizen science. Frontiers in Ecology and the Environment 14:551–560.</w:t>
      </w:r>
    </w:p>
    <w:bookmarkEnd w:id="59"/>
    <w:bookmarkStart w:id="60"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0"/>
    <w:bookmarkStart w:id="61"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1"/>
    <w:bookmarkStart w:id="62" w:name="ref-litke1999review"/>
    <w:p>
      <w:pPr>
        <w:pStyle w:val="Bibliography"/>
      </w:pPr>
      <w:r>
        <w:t xml:space="preserve">Litke, D. W. 1999. Review of phosphorus control measures in the united states and their effects on water quality. Water-Resources Investigations Report 99:4007.</w:t>
      </w:r>
    </w:p>
    <w:bookmarkEnd w:id="62"/>
    <w:bookmarkStart w:id="63"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63"/>
    <w:bookmarkStart w:id="64"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64"/>
    <w:bookmarkStart w:id="65"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65"/>
    <w:bookmarkStart w:id="66"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66"/>
    <w:bookmarkStart w:id="67" w:name="ref-nojavan2019rethinking"/>
    <w:p>
      <w:pPr>
        <w:pStyle w:val="Bibliography"/>
      </w:pPr>
      <w:r>
        <w:t xml:space="preserve">Nojavan, F., B. J. Kreakie, J. W. Hollister, and S. S. Qian. 2019. Rethinking the lake trophic state index. PeerJ Preprints.</w:t>
      </w:r>
    </w:p>
    <w:bookmarkEnd w:id="67"/>
    <w:bookmarkStart w:id="68"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68"/>
    <w:bookmarkStart w:id="69"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69"/>
    <w:bookmarkStart w:id="70" w:name="ref-paerl2009climate"/>
    <w:p>
      <w:pPr>
        <w:pStyle w:val="Bibliography"/>
      </w:pPr>
      <w:r>
        <w:t xml:space="preserve">Paerl, H. W., and J. Huisman. 2009. Climate change: A catalyst for global expansion of harmful cyanobacterial blooms. Environmental Microbiology Reports 1:27–37.</w:t>
      </w:r>
    </w:p>
    <w:bookmarkEnd w:id="70"/>
    <w:bookmarkStart w:id="71"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1"/>
    <w:bookmarkStart w:id="72" w:name="ref-paris"/>
    <w:p>
      <w:pPr>
        <w:pStyle w:val="Bibliography"/>
      </w:pPr>
      <w:r>
        <w:t xml:space="preserve">Paris agreement. 2015, December 12.. UN Treaty, United Nations.</w:t>
      </w:r>
    </w:p>
    <w:bookmarkEnd w:id="72"/>
    <w:bookmarkStart w:id="73"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73"/>
    <w:bookmarkStart w:id="74"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74"/>
    <w:bookmarkStart w:id="75"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75"/>
    <w:bookmarkStart w:id="76" w:name="ref-riphosban1995"/>
    <w:p>
      <w:pPr>
        <w:pStyle w:val="Bibliography"/>
      </w:pPr>
      <w:r>
        <w:t xml:space="preserve">Rhode Island State Legislature. 1995. Phosphate reduction act of 1995.</w:t>
      </w:r>
    </w:p>
    <w:bookmarkEnd w:id="76"/>
    <w:bookmarkStart w:id="77" w:name="ref-schindler2009lakes"/>
    <w:p>
      <w:pPr>
        <w:pStyle w:val="Bibliography"/>
      </w:pPr>
      <w:r>
        <w:t xml:space="preserve">Schindler, D. 2009. Lakes as sentinels and integrators for the effects of climate change on watersheds, airsheds, and landscapes. Limnology and Oceanography 54:2349–2358.</w:t>
      </w:r>
    </w:p>
    <w:bookmarkEnd w:id="77"/>
    <w:bookmarkStart w:id="78"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78"/>
    <w:bookmarkStart w:id="79" w:name="ref-smith2003eutrophication"/>
    <w:p>
      <w:pPr>
        <w:pStyle w:val="Bibliography"/>
      </w:pPr>
      <w:r>
        <w:t xml:space="preserve">Smith, V. H. 2003. Eutrophication of freshwater and coastal marine ecosystems a global problem. Environmental Science and Pollution Research 10:126–139.</w:t>
      </w:r>
    </w:p>
    <w:bookmarkEnd w:id="79"/>
    <w:bookmarkStart w:id="80"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0"/>
    <w:bookmarkStart w:id="81"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1"/>
    <w:bookmarkStart w:id="82" w:name="ref-sorannolimno2019"/>
    <w:p>
      <w:pPr>
        <w:pStyle w:val="Bibliography"/>
      </w:pPr>
      <w:r>
        <w:t xml:space="preserve">Soranno, P. A., N. R. Lottig, A. D. Delany, and K. S. Cheruvelil. 2019. LAGOS-NE-LIMNO v1.087.3: A module for LAGOS-NE, a multi-scaled geospatial and temporal database of lake ecological context and water quality for thousands of U.S. lakes: 1925-2013 ver 3. Environmental Data Initiative.</w:t>
      </w:r>
    </w:p>
    <w:bookmarkEnd w:id="82"/>
    <w:bookmarkStart w:id="84" w:name="ref-stacheleklagosne2017"/>
    <w:p>
      <w:pPr>
        <w:pStyle w:val="Bibliography"/>
      </w:pPr>
      <w:r>
        <w:t xml:space="preserve">Stachelek, J., and S. Oliver. 2017. LAGOSNE: Interface to the lake multi-scaled geospatial and temporal database, R package version 1.1.0.</w:t>
      </w:r>
      <w:r>
        <w:t xml:space="preserve"> </w:t>
      </w:r>
      <w:hyperlink r:id="rId83">
        <w:r>
          <w:rPr>
            <w:rStyle w:val="Hyperlink"/>
          </w:rPr>
          <w:t xml:space="preserve">https://cran.r-project.org/package=LAGOSNE</w:t>
        </w:r>
      </w:hyperlink>
      <w:r>
        <w:t xml:space="preserve">.</w:t>
      </w:r>
    </w:p>
    <w:bookmarkEnd w:id="84"/>
    <w:bookmarkStart w:id="85"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85"/>
    <w:bookmarkStart w:id="86"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86"/>
    <w:bookmarkStart w:id="87"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87"/>
    <w:bookmarkStart w:id="88" w:name="ref-wasserstein2016asa"/>
    <w:p>
      <w:pPr>
        <w:pStyle w:val="Bibliography"/>
      </w:pPr>
      <w:r>
        <w:t xml:space="preserve">Wasserstein, R. L., N. A. Lazar, and others. 2016. The ASA’s statement on p-values: Context, process, and purpose. The American Statistician 70:129–133.</w:t>
      </w:r>
    </w:p>
    <w:bookmarkEnd w:id="88"/>
    <w:bookmarkStart w:id="89"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89"/>
    <w:bookmarkStart w:id="90" w:name="ref-winder2004climate"/>
    <w:p>
      <w:pPr>
        <w:pStyle w:val="Bibliography"/>
      </w:pPr>
      <w:r>
        <w:t xml:space="preserve">Winder, M., and D. E. Schindler. 2004. Climate change uncouples trophic interactions in an aquatic ecosystem. Ecology 85:2100–2106.</w:t>
      </w:r>
    </w:p>
    <w:bookmarkEnd w:id="90"/>
    <w:bookmarkStart w:id="91" w:name="ref-yang2018nutrients"/>
    <w:p>
      <w:pPr>
        <w:pStyle w:val="Bibliography"/>
      </w:pPr>
      <w:r>
        <w:t xml:space="preserve">Yang, Y.-Y., and M. G. Lusk. 2018. Nutrients in urban stormwater runoff: Current state of the science and potential mitigation options. Current Pollution Reports 4:112–127.</w:t>
      </w:r>
    </w:p>
    <w:bookmarkEnd w:id="91"/>
    <w:bookmarkStart w:id="92"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92"/>
    <w:bookmarkStart w:id="93" w:name="ref-ri_wq_regs"/>
    <w:p>
      <w:pPr>
        <w:pStyle w:val="Bibliography"/>
      </w:pPr>
      <w:r>
        <w:t xml:space="preserve"> </w:t>
      </w:r>
      <w:r>
        <w:t xml:space="preserve">2010.. State of Rhode Island Department of Environmental Management Office of Water Resources.</w:t>
      </w:r>
    </w:p>
    <w:bookmarkEnd w:id="93"/>
    <w:bookmarkEnd w:id="94"/>
    <w:p>
      <w:pPr>
        <w:pStyle w:val="Heading6"/>
      </w:pPr>
      <w:bookmarkStart w:id="95" w:name="section"/>
      <w:bookmarkEnd w:id="95"/>
    </w:p>
    <w:p>
      <w:pPr>
        <w:pStyle w:val="Heading1"/>
      </w:pPr>
      <w:bookmarkStart w:id="96" w:name="tables"/>
      <w:r>
        <w:t xml:space="preserve">Tables</w:t>
      </w:r>
      <w:bookmarkEnd w:id="96"/>
    </w:p>
    <w:tbl>
      <w:tblPr>
        <w:tblStyle w:val="Table"/>
        <w:tblW w:type="pct" w:w="0.0"/>
        <w:tblLook w:firstRow="1"/>
      </w:tblPr>
      <w:tblGrid/>
      <w:tr>
        <w:trPr>
          <w:cnfStyle w:firstRow="1"/>
        </w:trPr>
        <w:tc>
          <w:tcPr>
            <w:tcBorders>
              <w:bottom w:val="single"/>
            </w:tcBorders>
            <w:vAlign w:val="bottom"/>
          </w:tcPr>
          <w:p>
            <w:pPr>
              <w:pStyle w:val="Compact"/>
              <w:jc w:val="center"/>
            </w:pPr>
            <w:r>
              <w:t xml:space="preserve">year</w:t>
            </w:r>
          </w:p>
        </w:tc>
        <w:tc>
          <w:tcPr>
            <w:tcBorders>
              <w:bottom w:val="single"/>
            </w:tcBorders>
            <w:vAlign w:val="bottom"/>
          </w:tcPr>
          <w:p>
            <w:pPr>
              <w:pStyle w:val="Compact"/>
              <w:jc w:val="center"/>
            </w:pPr>
            <w:r>
              <w:t xml:space="preserve">chla</w:t>
            </w:r>
          </w:p>
        </w:tc>
        <w:tc>
          <w:tcPr>
            <w:tcBorders>
              <w:bottom w:val="single"/>
            </w:tcBorders>
            <w:vAlign w:val="bottom"/>
          </w:tcPr>
          <w:p>
            <w:pPr>
              <w:pStyle w:val="Compact"/>
              <w:jc w:val="center"/>
            </w:pPr>
            <w:r>
              <w:t xml:space="preserve">np_ratio</w:t>
            </w:r>
          </w:p>
        </w:tc>
        <w:tc>
          <w:tcPr>
            <w:tcBorders>
              <w:bottom w:val="single"/>
            </w:tcBorders>
            <w:vAlign w:val="bottom"/>
          </w:tcPr>
          <w:p>
            <w:pPr>
              <w:pStyle w:val="Compact"/>
              <w:jc w:val="center"/>
            </w:pPr>
            <w:r>
              <w:t xml:space="preserve">temp</w:t>
            </w:r>
          </w:p>
        </w:tc>
        <w:tc>
          <w:tcPr>
            <w:tcBorders>
              <w:bottom w:val="single"/>
            </w:tcBorders>
            <w:vAlign w:val="bottom"/>
          </w:tcPr>
          <w:p>
            <w:pPr>
              <w:pStyle w:val="Compact"/>
              <w:jc w:val="center"/>
            </w:pPr>
            <w:r>
              <w:t xml:space="preserve">total_n</w:t>
            </w:r>
          </w:p>
        </w:tc>
        <w:tc>
          <w:tcPr>
            <w:tcBorders>
              <w:bottom w:val="single"/>
            </w:tcBorders>
            <w:vAlign w:val="bottom"/>
          </w:tcPr>
          <w:p>
            <w:pPr>
              <w:pStyle w:val="Compact"/>
              <w:jc w:val="center"/>
            </w:pPr>
            <w:r>
              <w:t xml:space="preserve">total_p</w:t>
            </w:r>
          </w:p>
        </w:tc>
      </w:tr>
      <w:tr>
        <w:tc>
          <w:p>
            <w:pPr>
              <w:pStyle w:val="Compact"/>
              <w:jc w:val="center"/>
            </w:pPr>
            <w:r>
              <w:t xml:space="preserve">1993</w:t>
            </w:r>
          </w:p>
        </w:tc>
        <w:tc>
          <w:p>
            <w:pPr>
              <w:pStyle w:val="Compact"/>
              <w:jc w:val="center"/>
            </w:pPr>
            <w:r>
              <w:t xml:space="preserve">25</w:t>
            </w:r>
          </w:p>
        </w:tc>
        <w:tc>
          <w:p>
            <w:pPr>
              <w:pStyle w:val="Compact"/>
              <w:jc w:val="center"/>
            </w:pPr>
            <w:r>
              <w:t xml:space="preserve">NA</w:t>
            </w:r>
          </w:p>
        </w:tc>
        <w:tc>
          <w:p>
            <w:pPr>
              <w:pStyle w:val="Compact"/>
              <w:jc w:val="center"/>
            </w:pPr>
            <w:r>
              <w:t xml:space="preserve">27</w:t>
            </w:r>
          </w:p>
        </w:tc>
        <w:tc>
          <w:p>
            <w:pPr>
              <w:pStyle w:val="Compact"/>
              <w:jc w:val="center"/>
            </w:pPr>
            <w:r>
              <w:t xml:space="preserve">NA</w:t>
            </w:r>
          </w:p>
        </w:tc>
        <w:tc>
          <w:p>
            <w:pPr>
              <w:pStyle w:val="Compact"/>
              <w:jc w:val="center"/>
            </w:pPr>
            <w:r>
              <w:t xml:space="preserve">NA</w:t>
            </w:r>
          </w:p>
        </w:tc>
      </w:tr>
      <w:tr>
        <w:tc>
          <w:p>
            <w:pPr>
              <w:pStyle w:val="Compact"/>
              <w:jc w:val="center"/>
            </w:pPr>
            <w:r>
              <w:t xml:space="preserve">1994</w:t>
            </w:r>
          </w:p>
        </w:tc>
        <w:tc>
          <w:p>
            <w:pPr>
              <w:pStyle w:val="Compact"/>
              <w:jc w:val="center"/>
            </w:pPr>
            <w:r>
              <w:t xml:space="preserve">38</w:t>
            </w:r>
          </w:p>
        </w:tc>
        <w:tc>
          <w:p>
            <w:pPr>
              <w:pStyle w:val="Compact"/>
              <w:jc w:val="center"/>
            </w:pPr>
            <w:r>
              <w:t xml:space="preserve">29</w:t>
            </w:r>
          </w:p>
        </w:tc>
        <w:tc>
          <w:p>
            <w:pPr>
              <w:pStyle w:val="Compact"/>
              <w:jc w:val="center"/>
            </w:pPr>
            <w:r>
              <w:t xml:space="preserve">38</w:t>
            </w:r>
          </w:p>
        </w:tc>
        <w:tc>
          <w:p>
            <w:pPr>
              <w:pStyle w:val="Compact"/>
              <w:jc w:val="center"/>
            </w:pPr>
            <w:r>
              <w:t xml:space="preserve">29</w:t>
            </w:r>
          </w:p>
        </w:tc>
        <w:tc>
          <w:p>
            <w:pPr>
              <w:pStyle w:val="Compact"/>
              <w:jc w:val="center"/>
            </w:pPr>
            <w:r>
              <w:t xml:space="preserve">36</w:t>
            </w:r>
          </w:p>
        </w:tc>
      </w:tr>
      <w:tr>
        <w:tc>
          <w:p>
            <w:pPr>
              <w:pStyle w:val="Compact"/>
              <w:jc w:val="center"/>
            </w:pPr>
            <w:r>
              <w:t xml:space="preserve">1995</w:t>
            </w:r>
          </w:p>
        </w:tc>
        <w:tc>
          <w:p>
            <w:pPr>
              <w:pStyle w:val="Compact"/>
              <w:jc w:val="center"/>
            </w:pPr>
            <w:r>
              <w:t xml:space="preserve">42</w:t>
            </w:r>
          </w:p>
        </w:tc>
        <w:tc>
          <w:p>
            <w:pPr>
              <w:pStyle w:val="Compact"/>
              <w:jc w:val="center"/>
            </w:pPr>
            <w:r>
              <w:t xml:space="preserve">NA</w:t>
            </w:r>
          </w:p>
        </w:tc>
        <w:tc>
          <w:p>
            <w:pPr>
              <w:pStyle w:val="Compact"/>
              <w:jc w:val="center"/>
            </w:pPr>
            <w:r>
              <w:t xml:space="preserve">42</w:t>
            </w:r>
          </w:p>
        </w:tc>
        <w:tc>
          <w:p>
            <w:pPr>
              <w:pStyle w:val="Compact"/>
              <w:jc w:val="center"/>
            </w:pPr>
            <w:r>
              <w:t xml:space="preserve">NA</w:t>
            </w:r>
          </w:p>
        </w:tc>
        <w:tc>
          <w:p>
            <w:pPr>
              <w:pStyle w:val="Compact"/>
              <w:jc w:val="center"/>
            </w:pPr>
            <w:r>
              <w:t xml:space="preserve">33</w:t>
            </w:r>
          </w:p>
        </w:tc>
      </w:tr>
      <w:tr>
        <w:tc>
          <w:p>
            <w:pPr>
              <w:pStyle w:val="Compact"/>
              <w:jc w:val="center"/>
            </w:pPr>
            <w:r>
              <w:t xml:space="preserve">1996</w:t>
            </w:r>
          </w:p>
        </w:tc>
        <w:tc>
          <w:p>
            <w:pPr>
              <w:pStyle w:val="Compact"/>
              <w:jc w:val="center"/>
            </w:pPr>
            <w:r>
              <w:t xml:space="preserve">47</w:t>
            </w:r>
          </w:p>
        </w:tc>
        <w:tc>
          <w:p>
            <w:pPr>
              <w:pStyle w:val="Compact"/>
              <w:jc w:val="center"/>
            </w:pPr>
            <w:r>
              <w:t xml:space="preserve">NA</w:t>
            </w:r>
          </w:p>
        </w:tc>
        <w:tc>
          <w:p>
            <w:pPr>
              <w:pStyle w:val="Compact"/>
              <w:jc w:val="center"/>
            </w:pPr>
            <w:r>
              <w:t xml:space="preserve">45</w:t>
            </w:r>
          </w:p>
        </w:tc>
        <w:tc>
          <w:p>
            <w:pPr>
              <w:pStyle w:val="Compact"/>
              <w:jc w:val="center"/>
            </w:pPr>
            <w:r>
              <w:t xml:space="preserve">NA</w:t>
            </w:r>
          </w:p>
        </w:tc>
        <w:tc>
          <w:p>
            <w:pPr>
              <w:pStyle w:val="Compact"/>
              <w:jc w:val="center"/>
            </w:pPr>
            <w:r>
              <w:t xml:space="preserve">NA</w:t>
            </w:r>
          </w:p>
        </w:tc>
      </w:tr>
      <w:tr>
        <w:tc>
          <w:p>
            <w:pPr>
              <w:pStyle w:val="Compact"/>
              <w:jc w:val="center"/>
            </w:pPr>
            <w:r>
              <w:t xml:space="preserve">1997</w:t>
            </w:r>
          </w:p>
        </w:tc>
        <w:tc>
          <w:p>
            <w:pPr>
              <w:pStyle w:val="Compact"/>
              <w:jc w:val="center"/>
            </w:pPr>
            <w:r>
              <w:t xml:space="preserve">41</w:t>
            </w:r>
          </w:p>
        </w:tc>
        <w:tc>
          <w:p>
            <w:pPr>
              <w:pStyle w:val="Compact"/>
              <w:jc w:val="center"/>
            </w:pPr>
            <w:r>
              <w:t xml:space="preserve">NA</w:t>
            </w:r>
          </w:p>
        </w:tc>
        <w:tc>
          <w:p>
            <w:pPr>
              <w:pStyle w:val="Compact"/>
              <w:jc w:val="center"/>
            </w:pPr>
            <w:r>
              <w:t xml:space="preserve">43</w:t>
            </w:r>
          </w:p>
        </w:tc>
        <w:tc>
          <w:p>
            <w:pPr>
              <w:pStyle w:val="Compact"/>
              <w:jc w:val="center"/>
            </w:pPr>
            <w:r>
              <w:t xml:space="preserve">NA</w:t>
            </w:r>
          </w:p>
        </w:tc>
        <w:tc>
          <w:p>
            <w:pPr>
              <w:pStyle w:val="Compact"/>
              <w:jc w:val="center"/>
            </w:pPr>
            <w:r>
              <w:t xml:space="preserve">NA</w:t>
            </w:r>
          </w:p>
        </w:tc>
      </w:tr>
      <w:tr>
        <w:tc>
          <w:p>
            <w:pPr>
              <w:pStyle w:val="Compact"/>
              <w:jc w:val="center"/>
            </w:pPr>
            <w:r>
              <w:t xml:space="preserve">1998</w:t>
            </w:r>
          </w:p>
        </w:tc>
        <w:tc>
          <w:p>
            <w:pPr>
              <w:pStyle w:val="Compact"/>
              <w:jc w:val="center"/>
            </w:pPr>
            <w:r>
              <w:t xml:space="preserve">39</w:t>
            </w:r>
          </w:p>
        </w:tc>
        <w:tc>
          <w:p>
            <w:pPr>
              <w:pStyle w:val="Compact"/>
              <w:jc w:val="center"/>
            </w:pPr>
            <w:r>
              <w:t xml:space="preserve">3</w:t>
            </w:r>
          </w:p>
        </w:tc>
        <w:tc>
          <w:p>
            <w:pPr>
              <w:pStyle w:val="Compact"/>
              <w:jc w:val="center"/>
            </w:pPr>
            <w:r>
              <w:t xml:space="preserve">38</w:t>
            </w:r>
          </w:p>
        </w:tc>
        <w:tc>
          <w:p>
            <w:pPr>
              <w:pStyle w:val="Compact"/>
              <w:jc w:val="center"/>
            </w:pPr>
            <w:r>
              <w:t xml:space="preserve">3</w:t>
            </w:r>
          </w:p>
        </w:tc>
        <w:tc>
          <w:p>
            <w:pPr>
              <w:pStyle w:val="Compact"/>
              <w:jc w:val="center"/>
            </w:pPr>
            <w:r>
              <w:t xml:space="preserve">3</w:t>
            </w:r>
          </w:p>
        </w:tc>
      </w:tr>
      <w:tr>
        <w:tc>
          <w:p>
            <w:pPr>
              <w:pStyle w:val="Compact"/>
              <w:jc w:val="center"/>
            </w:pPr>
            <w:r>
              <w:t xml:space="preserve">1999</w:t>
            </w:r>
          </w:p>
        </w:tc>
        <w:tc>
          <w:p>
            <w:pPr>
              <w:pStyle w:val="Compact"/>
              <w:jc w:val="center"/>
            </w:pPr>
            <w:r>
              <w:t xml:space="preserve">42</w:t>
            </w:r>
          </w:p>
        </w:tc>
        <w:tc>
          <w:p>
            <w:pPr>
              <w:pStyle w:val="Compact"/>
              <w:jc w:val="center"/>
            </w:pPr>
            <w:r>
              <w:t xml:space="preserve">38</w:t>
            </w:r>
          </w:p>
        </w:tc>
        <w:tc>
          <w:p>
            <w:pPr>
              <w:pStyle w:val="Compact"/>
              <w:jc w:val="center"/>
            </w:pPr>
            <w:r>
              <w:t xml:space="preserve">43</w:t>
            </w:r>
          </w:p>
        </w:tc>
        <w:tc>
          <w:p>
            <w:pPr>
              <w:pStyle w:val="Compact"/>
              <w:jc w:val="center"/>
            </w:pPr>
            <w:r>
              <w:t xml:space="preserve">39</w:t>
            </w:r>
          </w:p>
        </w:tc>
        <w:tc>
          <w:p>
            <w:pPr>
              <w:pStyle w:val="Compact"/>
              <w:jc w:val="center"/>
            </w:pPr>
            <w:r>
              <w:t xml:space="preserve">43</w:t>
            </w:r>
          </w:p>
        </w:tc>
      </w:tr>
      <w:tr>
        <w:tc>
          <w:p>
            <w:pPr>
              <w:pStyle w:val="Compact"/>
              <w:jc w:val="center"/>
            </w:pPr>
            <w:r>
              <w:t xml:space="preserve">2000</w:t>
            </w:r>
          </w:p>
        </w:tc>
        <w:tc>
          <w:p>
            <w:pPr>
              <w:pStyle w:val="Compact"/>
              <w:jc w:val="center"/>
            </w:pPr>
            <w:r>
              <w:t xml:space="preserve">51</w:t>
            </w:r>
          </w:p>
        </w:tc>
        <w:tc>
          <w:p>
            <w:pPr>
              <w:pStyle w:val="Compact"/>
              <w:jc w:val="center"/>
            </w:pPr>
            <w:r>
              <w:t xml:space="preserve">43</w:t>
            </w:r>
          </w:p>
        </w:tc>
        <w:tc>
          <w:p>
            <w:pPr>
              <w:pStyle w:val="Compact"/>
              <w:jc w:val="center"/>
            </w:pPr>
            <w:r>
              <w:t xml:space="preserve">51</w:t>
            </w:r>
          </w:p>
        </w:tc>
        <w:tc>
          <w:p>
            <w:pPr>
              <w:pStyle w:val="Compact"/>
              <w:jc w:val="center"/>
            </w:pPr>
            <w:r>
              <w:t xml:space="preserve">44</w:t>
            </w:r>
          </w:p>
        </w:tc>
        <w:tc>
          <w:p>
            <w:pPr>
              <w:pStyle w:val="Compact"/>
              <w:jc w:val="center"/>
            </w:pPr>
            <w:r>
              <w:t xml:space="preserve">44</w:t>
            </w:r>
          </w:p>
        </w:tc>
      </w:tr>
      <w:tr>
        <w:tc>
          <w:p>
            <w:pPr>
              <w:pStyle w:val="Compact"/>
              <w:jc w:val="center"/>
            </w:pPr>
            <w:r>
              <w:t xml:space="preserve">2001</w:t>
            </w:r>
          </w:p>
        </w:tc>
        <w:tc>
          <w:p>
            <w:pPr>
              <w:pStyle w:val="Compact"/>
              <w:jc w:val="center"/>
            </w:pPr>
            <w:r>
              <w:t xml:space="preserve">45</w:t>
            </w:r>
          </w:p>
        </w:tc>
        <w:tc>
          <w:p>
            <w:pPr>
              <w:pStyle w:val="Compact"/>
              <w:jc w:val="center"/>
            </w:pPr>
            <w:r>
              <w:t xml:space="preserve">45</w:t>
            </w:r>
          </w:p>
        </w:tc>
        <w:tc>
          <w:p>
            <w:pPr>
              <w:pStyle w:val="Compact"/>
              <w:jc w:val="center"/>
            </w:pPr>
            <w:r>
              <w:t xml:space="preserve">47</w:t>
            </w:r>
          </w:p>
        </w:tc>
        <w:tc>
          <w:p>
            <w:pPr>
              <w:pStyle w:val="Compact"/>
              <w:jc w:val="center"/>
            </w:pPr>
            <w:r>
              <w:t xml:space="preserve">47</w:t>
            </w:r>
          </w:p>
        </w:tc>
        <w:tc>
          <w:p>
            <w:pPr>
              <w:pStyle w:val="Compact"/>
              <w:jc w:val="center"/>
            </w:pPr>
            <w:r>
              <w:t xml:space="preserve">49</w:t>
            </w:r>
          </w:p>
        </w:tc>
      </w:tr>
      <w:tr>
        <w:tc>
          <w:p>
            <w:pPr>
              <w:pStyle w:val="Compact"/>
              <w:jc w:val="center"/>
            </w:pPr>
            <w:r>
              <w:t xml:space="preserve">2002</w:t>
            </w:r>
          </w:p>
        </w:tc>
        <w:tc>
          <w:p>
            <w:pPr>
              <w:pStyle w:val="Compact"/>
              <w:jc w:val="center"/>
            </w:pPr>
            <w:r>
              <w:t xml:space="preserve">48</w:t>
            </w:r>
          </w:p>
        </w:tc>
        <w:tc>
          <w:p>
            <w:pPr>
              <w:pStyle w:val="Compact"/>
              <w:jc w:val="center"/>
            </w:pPr>
            <w:r>
              <w:t xml:space="preserve">45</w:t>
            </w:r>
          </w:p>
        </w:tc>
        <w:tc>
          <w:p>
            <w:pPr>
              <w:pStyle w:val="Compact"/>
              <w:jc w:val="center"/>
            </w:pPr>
            <w:r>
              <w:t xml:space="preserve">48</w:t>
            </w:r>
          </w:p>
        </w:tc>
        <w:tc>
          <w:p>
            <w:pPr>
              <w:pStyle w:val="Compact"/>
              <w:jc w:val="center"/>
            </w:pPr>
            <w:r>
              <w:t xml:space="preserve">45</w:t>
            </w:r>
          </w:p>
        </w:tc>
        <w:tc>
          <w:p>
            <w:pPr>
              <w:pStyle w:val="Compact"/>
              <w:jc w:val="center"/>
            </w:pPr>
            <w:r>
              <w:t xml:space="preserve">45</w:t>
            </w:r>
          </w:p>
        </w:tc>
      </w:tr>
      <w:tr>
        <w:tc>
          <w:p>
            <w:pPr>
              <w:pStyle w:val="Compact"/>
              <w:jc w:val="center"/>
            </w:pPr>
            <w:r>
              <w:t xml:space="preserve">2003</w:t>
            </w:r>
          </w:p>
        </w:tc>
        <w:tc>
          <w:p>
            <w:pPr>
              <w:pStyle w:val="Compact"/>
              <w:jc w:val="center"/>
            </w:pPr>
            <w:r>
              <w:t xml:space="preserve">46</w:t>
            </w:r>
          </w:p>
        </w:tc>
        <w:tc>
          <w:p>
            <w:pPr>
              <w:pStyle w:val="Compact"/>
              <w:jc w:val="center"/>
            </w:pPr>
            <w:r>
              <w:t xml:space="preserve">45</w:t>
            </w:r>
          </w:p>
        </w:tc>
        <w:tc>
          <w:p>
            <w:pPr>
              <w:pStyle w:val="Compact"/>
              <w:jc w:val="center"/>
            </w:pPr>
            <w:r>
              <w:t xml:space="preserve">51</w:t>
            </w:r>
          </w:p>
        </w:tc>
        <w:tc>
          <w:p>
            <w:pPr>
              <w:pStyle w:val="Compact"/>
              <w:jc w:val="center"/>
            </w:pPr>
            <w:r>
              <w:t xml:space="preserve">46</w:t>
            </w:r>
          </w:p>
        </w:tc>
        <w:tc>
          <w:p>
            <w:pPr>
              <w:pStyle w:val="Compact"/>
              <w:jc w:val="center"/>
            </w:pPr>
            <w:r>
              <w:t xml:space="preserve">45</w:t>
            </w:r>
          </w:p>
        </w:tc>
      </w:tr>
      <w:tr>
        <w:tc>
          <w:p>
            <w:pPr>
              <w:pStyle w:val="Compact"/>
              <w:jc w:val="center"/>
            </w:pPr>
            <w:r>
              <w:t xml:space="preserve">2004</w:t>
            </w:r>
          </w:p>
        </w:tc>
        <w:tc>
          <w:p>
            <w:pPr>
              <w:pStyle w:val="Compact"/>
              <w:jc w:val="center"/>
            </w:pPr>
            <w:r>
              <w:t xml:space="preserve">52</w:t>
            </w:r>
          </w:p>
        </w:tc>
        <w:tc>
          <w:p>
            <w:pPr>
              <w:pStyle w:val="Compact"/>
              <w:jc w:val="center"/>
            </w:pPr>
            <w:r>
              <w:t xml:space="preserve">50</w:t>
            </w:r>
          </w:p>
        </w:tc>
        <w:tc>
          <w:p>
            <w:pPr>
              <w:pStyle w:val="Compact"/>
              <w:jc w:val="center"/>
            </w:pPr>
            <w:r>
              <w:t xml:space="preserve">53</w:t>
            </w:r>
          </w:p>
        </w:tc>
        <w:tc>
          <w:p>
            <w:pPr>
              <w:pStyle w:val="Compact"/>
              <w:jc w:val="center"/>
            </w:pPr>
            <w:r>
              <w:t xml:space="preserve">51</w:t>
            </w:r>
          </w:p>
        </w:tc>
        <w:tc>
          <w:p>
            <w:pPr>
              <w:pStyle w:val="Compact"/>
              <w:jc w:val="center"/>
            </w:pPr>
            <w:r>
              <w:t xml:space="preserve">50</w:t>
            </w:r>
          </w:p>
        </w:tc>
      </w:tr>
      <w:tr>
        <w:tc>
          <w:p>
            <w:pPr>
              <w:pStyle w:val="Compact"/>
              <w:jc w:val="center"/>
            </w:pPr>
            <w:r>
              <w:t xml:space="preserve">2005</w:t>
            </w:r>
          </w:p>
        </w:tc>
        <w:tc>
          <w:p>
            <w:pPr>
              <w:pStyle w:val="Compact"/>
              <w:jc w:val="center"/>
            </w:pPr>
            <w:r>
              <w:t xml:space="preserve">49</w:t>
            </w:r>
          </w:p>
        </w:tc>
        <w:tc>
          <w:p>
            <w:pPr>
              <w:pStyle w:val="Compact"/>
              <w:jc w:val="center"/>
            </w:pPr>
            <w:r>
              <w:t xml:space="preserve">44</w:t>
            </w:r>
          </w:p>
        </w:tc>
        <w:tc>
          <w:p>
            <w:pPr>
              <w:pStyle w:val="Compact"/>
              <w:jc w:val="center"/>
            </w:pPr>
            <w:r>
              <w:t xml:space="preserve">50</w:t>
            </w:r>
          </w:p>
        </w:tc>
        <w:tc>
          <w:p>
            <w:pPr>
              <w:pStyle w:val="Compact"/>
              <w:jc w:val="center"/>
            </w:pPr>
            <w:r>
              <w:t xml:space="preserve">45</w:t>
            </w:r>
          </w:p>
        </w:tc>
        <w:tc>
          <w:p>
            <w:pPr>
              <w:pStyle w:val="Compact"/>
              <w:jc w:val="center"/>
            </w:pPr>
            <w:r>
              <w:t xml:space="preserve">46</w:t>
            </w:r>
          </w:p>
        </w:tc>
      </w:tr>
      <w:tr>
        <w:tc>
          <w:p>
            <w:pPr>
              <w:pStyle w:val="Compact"/>
              <w:jc w:val="center"/>
            </w:pPr>
            <w:r>
              <w:t xml:space="preserve">2006</w:t>
            </w:r>
          </w:p>
        </w:tc>
        <w:tc>
          <w:p>
            <w:pPr>
              <w:pStyle w:val="Compact"/>
              <w:jc w:val="center"/>
            </w:pPr>
            <w:r>
              <w:t xml:space="preserve">51</w:t>
            </w:r>
          </w:p>
        </w:tc>
        <w:tc>
          <w:p>
            <w:pPr>
              <w:pStyle w:val="Compact"/>
              <w:jc w:val="center"/>
            </w:pPr>
            <w:r>
              <w:t xml:space="preserve">48</w:t>
            </w:r>
          </w:p>
        </w:tc>
        <w:tc>
          <w:p>
            <w:pPr>
              <w:pStyle w:val="Compact"/>
              <w:jc w:val="center"/>
            </w:pPr>
            <w:r>
              <w:t xml:space="preserve">51</w:t>
            </w:r>
          </w:p>
        </w:tc>
        <w:tc>
          <w:p>
            <w:pPr>
              <w:pStyle w:val="Compact"/>
              <w:jc w:val="center"/>
            </w:pPr>
            <w:r>
              <w:t xml:space="preserve">49</w:t>
            </w:r>
          </w:p>
        </w:tc>
        <w:tc>
          <w:p>
            <w:pPr>
              <w:pStyle w:val="Compact"/>
              <w:jc w:val="center"/>
            </w:pPr>
            <w:r>
              <w:t xml:space="preserve">49</w:t>
            </w:r>
          </w:p>
        </w:tc>
      </w:tr>
      <w:tr>
        <w:tc>
          <w:p>
            <w:pPr>
              <w:pStyle w:val="Compact"/>
              <w:jc w:val="center"/>
            </w:pPr>
            <w:r>
              <w:t xml:space="preserve">2007</w:t>
            </w:r>
          </w:p>
        </w:tc>
        <w:tc>
          <w:p>
            <w:pPr>
              <w:pStyle w:val="Compact"/>
              <w:jc w:val="center"/>
            </w:pPr>
            <w:r>
              <w:t xml:space="preserve">47</w:t>
            </w:r>
          </w:p>
        </w:tc>
        <w:tc>
          <w:p>
            <w:pPr>
              <w:pStyle w:val="Compact"/>
              <w:jc w:val="center"/>
            </w:pPr>
            <w:r>
              <w:t xml:space="preserve">47</w:t>
            </w:r>
          </w:p>
        </w:tc>
        <w:tc>
          <w:p>
            <w:pPr>
              <w:pStyle w:val="Compact"/>
              <w:jc w:val="center"/>
            </w:pPr>
            <w:r>
              <w:t xml:space="preserve">49</w:t>
            </w:r>
          </w:p>
        </w:tc>
        <w:tc>
          <w:p>
            <w:pPr>
              <w:pStyle w:val="Compact"/>
              <w:jc w:val="center"/>
            </w:pPr>
            <w:r>
              <w:t xml:space="preserve">48</w:t>
            </w:r>
          </w:p>
        </w:tc>
        <w:tc>
          <w:p>
            <w:pPr>
              <w:pStyle w:val="Compact"/>
              <w:jc w:val="center"/>
            </w:pPr>
            <w:r>
              <w:t xml:space="preserve">48</w:t>
            </w:r>
          </w:p>
        </w:tc>
      </w:tr>
      <w:tr>
        <w:tc>
          <w:p>
            <w:pPr>
              <w:pStyle w:val="Compact"/>
              <w:jc w:val="center"/>
            </w:pPr>
            <w:r>
              <w:t xml:space="preserve">2008</w:t>
            </w:r>
          </w:p>
        </w:tc>
        <w:tc>
          <w:p>
            <w:pPr>
              <w:pStyle w:val="Compact"/>
              <w:jc w:val="center"/>
            </w:pPr>
            <w:r>
              <w:t xml:space="preserve">53</w:t>
            </w:r>
          </w:p>
        </w:tc>
        <w:tc>
          <w:p>
            <w:pPr>
              <w:pStyle w:val="Compact"/>
              <w:jc w:val="center"/>
            </w:pPr>
            <w:r>
              <w:t xml:space="preserve">51</w:t>
            </w:r>
          </w:p>
        </w:tc>
        <w:tc>
          <w:p>
            <w:pPr>
              <w:pStyle w:val="Compact"/>
              <w:jc w:val="center"/>
            </w:pPr>
            <w:r>
              <w:t xml:space="preserve">53</w:t>
            </w:r>
          </w:p>
        </w:tc>
        <w:tc>
          <w:p>
            <w:pPr>
              <w:pStyle w:val="Compact"/>
              <w:jc w:val="center"/>
            </w:pPr>
            <w:r>
              <w:t xml:space="preserve">52</w:t>
            </w:r>
          </w:p>
        </w:tc>
        <w:tc>
          <w:p>
            <w:pPr>
              <w:pStyle w:val="Compact"/>
              <w:jc w:val="center"/>
            </w:pPr>
            <w:r>
              <w:t xml:space="preserve">52</w:t>
            </w:r>
          </w:p>
        </w:tc>
      </w:tr>
      <w:tr>
        <w:tc>
          <w:p>
            <w:pPr>
              <w:pStyle w:val="Compact"/>
              <w:jc w:val="center"/>
            </w:pPr>
            <w:r>
              <w:t xml:space="preserve">2009</w:t>
            </w:r>
          </w:p>
        </w:tc>
        <w:tc>
          <w:p>
            <w:pPr>
              <w:pStyle w:val="Compact"/>
              <w:jc w:val="center"/>
            </w:pPr>
            <w:r>
              <w:t xml:space="preserve">48</w:t>
            </w:r>
          </w:p>
        </w:tc>
        <w:tc>
          <w:p>
            <w:pPr>
              <w:pStyle w:val="Compact"/>
              <w:jc w:val="center"/>
            </w:pPr>
            <w:r>
              <w:t xml:space="preserve">39</w:t>
            </w:r>
          </w:p>
        </w:tc>
        <w:tc>
          <w:p>
            <w:pPr>
              <w:pStyle w:val="Compact"/>
              <w:jc w:val="center"/>
            </w:pPr>
            <w:r>
              <w:t xml:space="preserve">50</w:t>
            </w:r>
          </w:p>
        </w:tc>
        <w:tc>
          <w:p>
            <w:pPr>
              <w:pStyle w:val="Compact"/>
              <w:jc w:val="center"/>
            </w:pPr>
            <w:r>
              <w:t xml:space="preserve">39</w:t>
            </w:r>
          </w:p>
        </w:tc>
        <w:tc>
          <w:p>
            <w:pPr>
              <w:pStyle w:val="Compact"/>
              <w:jc w:val="center"/>
            </w:pPr>
            <w:r>
              <w:t xml:space="preserve">40</w:t>
            </w:r>
          </w:p>
        </w:tc>
      </w:tr>
      <w:tr>
        <w:tc>
          <w:p>
            <w:pPr>
              <w:pStyle w:val="Compact"/>
              <w:jc w:val="center"/>
            </w:pPr>
            <w:r>
              <w:t xml:space="preserve">2010</w:t>
            </w:r>
          </w:p>
        </w:tc>
        <w:tc>
          <w:p>
            <w:pPr>
              <w:pStyle w:val="Compact"/>
              <w:jc w:val="center"/>
            </w:pPr>
            <w:r>
              <w:t xml:space="preserve">46</w:t>
            </w:r>
          </w:p>
        </w:tc>
        <w:tc>
          <w:p>
            <w:pPr>
              <w:pStyle w:val="Compact"/>
              <w:jc w:val="center"/>
            </w:pPr>
            <w:r>
              <w:t xml:space="preserve">46</w:t>
            </w:r>
          </w:p>
        </w:tc>
        <w:tc>
          <w:p>
            <w:pPr>
              <w:pStyle w:val="Compact"/>
              <w:jc w:val="center"/>
            </w:pPr>
            <w:r>
              <w:t xml:space="preserve">46</w:t>
            </w:r>
          </w:p>
        </w:tc>
        <w:tc>
          <w:p>
            <w:pPr>
              <w:pStyle w:val="Compact"/>
              <w:jc w:val="center"/>
            </w:pPr>
            <w:r>
              <w:t xml:space="preserve">47</w:t>
            </w:r>
          </w:p>
        </w:tc>
        <w:tc>
          <w:p>
            <w:pPr>
              <w:pStyle w:val="Compact"/>
              <w:jc w:val="center"/>
            </w:pPr>
            <w:r>
              <w:t xml:space="preserve">47</w:t>
            </w:r>
          </w:p>
        </w:tc>
      </w:tr>
      <w:tr>
        <w:tc>
          <w:p>
            <w:pPr>
              <w:pStyle w:val="Compact"/>
              <w:jc w:val="center"/>
            </w:pPr>
            <w:r>
              <w:t xml:space="preserve">2011</w:t>
            </w:r>
          </w:p>
        </w:tc>
        <w:tc>
          <w:p>
            <w:pPr>
              <w:pStyle w:val="Compact"/>
              <w:jc w:val="center"/>
            </w:pPr>
            <w:r>
              <w:t xml:space="preserve">51</w:t>
            </w:r>
          </w:p>
        </w:tc>
        <w:tc>
          <w:p>
            <w:pPr>
              <w:pStyle w:val="Compact"/>
              <w:jc w:val="center"/>
            </w:pPr>
            <w:r>
              <w:t xml:space="preserve">48</w:t>
            </w:r>
          </w:p>
        </w:tc>
        <w:tc>
          <w:p>
            <w:pPr>
              <w:pStyle w:val="Compact"/>
              <w:jc w:val="center"/>
            </w:pPr>
            <w:r>
              <w:t xml:space="preserve">49</w:t>
            </w:r>
          </w:p>
        </w:tc>
        <w:tc>
          <w:p>
            <w:pPr>
              <w:pStyle w:val="Compact"/>
              <w:jc w:val="center"/>
            </w:pPr>
            <w:r>
              <w:t xml:space="preserve">49</w:t>
            </w:r>
          </w:p>
        </w:tc>
        <w:tc>
          <w:p>
            <w:pPr>
              <w:pStyle w:val="Compact"/>
              <w:jc w:val="center"/>
            </w:pPr>
            <w:r>
              <w:t xml:space="preserve">49</w:t>
            </w:r>
          </w:p>
        </w:tc>
      </w:tr>
      <w:tr>
        <w:tc>
          <w:p>
            <w:pPr>
              <w:pStyle w:val="Compact"/>
              <w:jc w:val="center"/>
            </w:pPr>
            <w:r>
              <w:t xml:space="preserve">2012</w:t>
            </w:r>
          </w:p>
        </w:tc>
        <w:tc>
          <w:p>
            <w:pPr>
              <w:pStyle w:val="Compact"/>
              <w:jc w:val="center"/>
            </w:pPr>
            <w:r>
              <w:t xml:space="preserve">45</w:t>
            </w:r>
          </w:p>
        </w:tc>
        <w:tc>
          <w:p>
            <w:pPr>
              <w:pStyle w:val="Compact"/>
              <w:jc w:val="center"/>
            </w:pPr>
            <w:r>
              <w:t xml:space="preserve">46</w:t>
            </w:r>
          </w:p>
        </w:tc>
        <w:tc>
          <w:p>
            <w:pPr>
              <w:pStyle w:val="Compact"/>
              <w:jc w:val="center"/>
            </w:pPr>
            <w:r>
              <w:t xml:space="preserve">44</w:t>
            </w:r>
          </w:p>
        </w:tc>
        <w:tc>
          <w:p>
            <w:pPr>
              <w:pStyle w:val="Compact"/>
              <w:jc w:val="center"/>
            </w:pPr>
            <w:r>
              <w:t xml:space="preserve">47</w:t>
            </w:r>
          </w:p>
        </w:tc>
        <w:tc>
          <w:p>
            <w:pPr>
              <w:pStyle w:val="Compact"/>
              <w:jc w:val="center"/>
            </w:pPr>
            <w:r>
              <w:t xml:space="preserve">48</w:t>
            </w:r>
          </w:p>
        </w:tc>
      </w:tr>
      <w:tr>
        <w:tc>
          <w:p>
            <w:pPr>
              <w:pStyle w:val="Compact"/>
              <w:jc w:val="center"/>
            </w:pPr>
            <w:r>
              <w:t xml:space="preserve">2013</w:t>
            </w:r>
          </w:p>
        </w:tc>
        <w:tc>
          <w:p>
            <w:pPr>
              <w:pStyle w:val="Compact"/>
              <w:jc w:val="center"/>
            </w:pPr>
            <w:r>
              <w:t xml:space="preserve">42</w:t>
            </w:r>
          </w:p>
        </w:tc>
        <w:tc>
          <w:p>
            <w:pPr>
              <w:pStyle w:val="Compact"/>
              <w:jc w:val="center"/>
            </w:pPr>
            <w:r>
              <w:t xml:space="preserve">40</w:t>
            </w:r>
          </w:p>
        </w:tc>
        <w:tc>
          <w:p>
            <w:pPr>
              <w:pStyle w:val="Compact"/>
              <w:jc w:val="center"/>
            </w:pPr>
            <w:r>
              <w:t xml:space="preserve">42</w:t>
            </w:r>
          </w:p>
        </w:tc>
        <w:tc>
          <w:p>
            <w:pPr>
              <w:pStyle w:val="Compact"/>
              <w:jc w:val="center"/>
            </w:pPr>
            <w:r>
              <w:t xml:space="preserve">40</w:t>
            </w:r>
          </w:p>
        </w:tc>
        <w:tc>
          <w:p>
            <w:pPr>
              <w:pStyle w:val="Compact"/>
              <w:jc w:val="center"/>
            </w:pPr>
            <w:r>
              <w:t xml:space="preserve">42</w:t>
            </w:r>
          </w:p>
        </w:tc>
      </w:tr>
      <w:tr>
        <w:tc>
          <w:p>
            <w:pPr>
              <w:pStyle w:val="Compact"/>
              <w:jc w:val="center"/>
            </w:pPr>
            <w:r>
              <w:t xml:space="preserve">2014</w:t>
            </w:r>
          </w:p>
        </w:tc>
        <w:tc>
          <w:p>
            <w:pPr>
              <w:pStyle w:val="Compact"/>
              <w:jc w:val="center"/>
            </w:pPr>
            <w:r>
              <w:t xml:space="preserve">44</w:t>
            </w:r>
          </w:p>
        </w:tc>
        <w:tc>
          <w:p>
            <w:pPr>
              <w:pStyle w:val="Compact"/>
              <w:jc w:val="center"/>
            </w:pPr>
            <w:r>
              <w:t xml:space="preserve">39</w:t>
            </w:r>
          </w:p>
        </w:tc>
        <w:tc>
          <w:p>
            <w:pPr>
              <w:pStyle w:val="Compact"/>
              <w:jc w:val="center"/>
            </w:pPr>
            <w:r>
              <w:t xml:space="preserve">44</w:t>
            </w:r>
          </w:p>
        </w:tc>
        <w:tc>
          <w:p>
            <w:pPr>
              <w:pStyle w:val="Compact"/>
              <w:jc w:val="center"/>
            </w:pPr>
            <w:r>
              <w:t xml:space="preserve">39</w:t>
            </w:r>
          </w:p>
        </w:tc>
        <w:tc>
          <w:p>
            <w:pPr>
              <w:pStyle w:val="Compact"/>
              <w:jc w:val="center"/>
            </w:pPr>
            <w:r>
              <w:t xml:space="preserve">41</w:t>
            </w:r>
          </w:p>
        </w:tc>
      </w:tr>
      <w:tr>
        <w:tc>
          <w:p>
            <w:pPr>
              <w:pStyle w:val="Compact"/>
              <w:jc w:val="center"/>
            </w:pPr>
            <w:r>
              <w:t xml:space="preserve">2015</w:t>
            </w:r>
          </w:p>
        </w:tc>
        <w:tc>
          <w:p>
            <w:pPr>
              <w:pStyle w:val="Compact"/>
              <w:jc w:val="center"/>
            </w:pPr>
            <w:r>
              <w:t xml:space="preserve">46</w:t>
            </w:r>
          </w:p>
        </w:tc>
        <w:tc>
          <w:p>
            <w:pPr>
              <w:pStyle w:val="Compact"/>
              <w:jc w:val="center"/>
            </w:pPr>
            <w:r>
              <w:t xml:space="preserve">41</w:t>
            </w:r>
          </w:p>
        </w:tc>
        <w:tc>
          <w:p>
            <w:pPr>
              <w:pStyle w:val="Compact"/>
              <w:jc w:val="center"/>
            </w:pPr>
            <w:r>
              <w:t xml:space="preserve">46</w:t>
            </w:r>
          </w:p>
        </w:tc>
        <w:tc>
          <w:p>
            <w:pPr>
              <w:pStyle w:val="Compact"/>
              <w:jc w:val="center"/>
            </w:pPr>
            <w:r>
              <w:t xml:space="preserve">41</w:t>
            </w:r>
          </w:p>
        </w:tc>
        <w:tc>
          <w:p>
            <w:pPr>
              <w:pStyle w:val="Compact"/>
              <w:jc w:val="center"/>
            </w:pPr>
            <w:r>
              <w:t xml:space="preserve">43</w:t>
            </w:r>
          </w:p>
        </w:tc>
      </w:tr>
      <w:tr>
        <w:tc>
          <w:p>
            <w:pPr>
              <w:pStyle w:val="Compact"/>
              <w:jc w:val="center"/>
            </w:pPr>
            <w:r>
              <w:t xml:space="preserve">2016</w:t>
            </w:r>
          </w:p>
        </w:tc>
        <w:tc>
          <w:p>
            <w:pPr>
              <w:pStyle w:val="Compact"/>
              <w:jc w:val="center"/>
            </w:pPr>
            <w:r>
              <w:t xml:space="preserve">45</w:t>
            </w:r>
          </w:p>
        </w:tc>
        <w:tc>
          <w:p>
            <w:pPr>
              <w:pStyle w:val="Compact"/>
              <w:jc w:val="center"/>
            </w:pPr>
            <w:r>
              <w:t xml:space="preserve">42</w:t>
            </w:r>
          </w:p>
        </w:tc>
        <w:tc>
          <w:p>
            <w:pPr>
              <w:pStyle w:val="Compact"/>
              <w:jc w:val="center"/>
            </w:pPr>
            <w:r>
              <w:t xml:space="preserve">47</w:t>
            </w:r>
          </w:p>
        </w:tc>
        <w:tc>
          <w:p>
            <w:pPr>
              <w:pStyle w:val="Compact"/>
              <w:jc w:val="center"/>
            </w:pPr>
            <w:r>
              <w:t xml:space="preserve">42</w:t>
            </w:r>
          </w:p>
        </w:tc>
        <w:tc>
          <w:p>
            <w:pPr>
              <w:pStyle w:val="Compact"/>
              <w:jc w:val="center"/>
            </w:pPr>
            <w:r>
              <w:t xml:space="preserve">44</w:t>
            </w:r>
          </w:p>
        </w:tc>
      </w:tr>
    </w:tbl>
    <w:p>
      <w:pPr>
        <w:pStyle w:val="BodyText"/>
      </w:pPr>
      <w:r>
        <w:t xml:space="preserve">Table 1: Number of URIWW sites available for trend analysis by parameter and year.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year</w:t>
            </w:r>
          </w:p>
        </w:tc>
        <w:tc>
          <w:tcPr>
            <w:tcBorders>
              <w:bottom w:val="single"/>
            </w:tcBorders>
            <w:vAlign w:val="bottom"/>
          </w:tcPr>
          <w:p>
            <w:pPr>
              <w:pStyle w:val="Compact"/>
              <w:jc w:val="center"/>
            </w:pPr>
            <w:r>
              <w:t xml:space="preserve">chla</w:t>
            </w:r>
          </w:p>
        </w:tc>
        <w:tc>
          <w:tcPr>
            <w:tcBorders>
              <w:bottom w:val="single"/>
            </w:tcBorders>
            <w:vAlign w:val="bottom"/>
          </w:tcPr>
          <w:p>
            <w:pPr>
              <w:pStyle w:val="Compact"/>
              <w:jc w:val="center"/>
            </w:pPr>
            <w:r>
              <w:t xml:space="preserve">np_ratio</w:t>
            </w:r>
          </w:p>
        </w:tc>
        <w:tc>
          <w:tcPr>
            <w:tcBorders>
              <w:bottom w:val="single"/>
            </w:tcBorders>
            <w:vAlign w:val="bottom"/>
          </w:tcPr>
          <w:p>
            <w:pPr>
              <w:pStyle w:val="Compact"/>
              <w:jc w:val="center"/>
            </w:pPr>
            <w:r>
              <w:t xml:space="preserve">total_n</w:t>
            </w:r>
          </w:p>
        </w:tc>
        <w:tc>
          <w:tcPr>
            <w:tcBorders>
              <w:bottom w:val="single"/>
            </w:tcBorders>
            <w:vAlign w:val="bottom"/>
          </w:tcPr>
          <w:p>
            <w:pPr>
              <w:pStyle w:val="Compact"/>
              <w:jc w:val="center"/>
            </w:pPr>
            <w:r>
              <w:t xml:space="preserve">total_p</w:t>
            </w:r>
          </w:p>
        </w:tc>
      </w:tr>
      <w:tr>
        <w:tc>
          <w:p>
            <w:pPr>
              <w:pStyle w:val="Compact"/>
              <w:jc w:val="center"/>
            </w:pPr>
            <w:r>
              <w:t xml:space="preserve">1993</w:t>
            </w:r>
          </w:p>
        </w:tc>
        <w:tc>
          <w:p>
            <w:pPr>
              <w:pStyle w:val="Compact"/>
              <w:jc w:val="center"/>
            </w:pPr>
            <w:r>
              <w:t xml:space="preserve">110</w:t>
            </w:r>
          </w:p>
        </w:tc>
        <w:tc>
          <w:p>
            <w:pPr>
              <w:pStyle w:val="Compact"/>
              <w:jc w:val="center"/>
            </w:pPr>
            <w:r>
              <w:t xml:space="preserve">19</w:t>
            </w:r>
          </w:p>
        </w:tc>
        <w:tc>
          <w:p>
            <w:pPr>
              <w:pStyle w:val="Compact"/>
              <w:jc w:val="center"/>
            </w:pPr>
            <w:r>
              <w:t xml:space="preserve">21</w:t>
            </w:r>
          </w:p>
        </w:tc>
        <w:tc>
          <w:p>
            <w:pPr>
              <w:pStyle w:val="Compact"/>
              <w:jc w:val="center"/>
            </w:pPr>
            <w:r>
              <w:t xml:space="preserve">128</w:t>
            </w:r>
          </w:p>
        </w:tc>
      </w:tr>
      <w:tr>
        <w:tc>
          <w:p>
            <w:pPr>
              <w:pStyle w:val="Compact"/>
              <w:jc w:val="center"/>
            </w:pPr>
            <w:r>
              <w:t xml:space="preserve">1994</w:t>
            </w:r>
          </w:p>
        </w:tc>
        <w:tc>
          <w:p>
            <w:pPr>
              <w:pStyle w:val="Compact"/>
              <w:jc w:val="center"/>
            </w:pPr>
            <w:r>
              <w:t xml:space="preserve">137</w:t>
            </w:r>
          </w:p>
        </w:tc>
        <w:tc>
          <w:p>
            <w:pPr>
              <w:pStyle w:val="Compact"/>
              <w:jc w:val="center"/>
            </w:pPr>
            <w:r>
              <w:t xml:space="preserve">35</w:t>
            </w:r>
          </w:p>
        </w:tc>
        <w:tc>
          <w:p>
            <w:pPr>
              <w:pStyle w:val="Compact"/>
              <w:jc w:val="center"/>
            </w:pPr>
            <w:r>
              <w:t xml:space="preserve">40</w:t>
            </w:r>
          </w:p>
        </w:tc>
        <w:tc>
          <w:p>
            <w:pPr>
              <w:pStyle w:val="Compact"/>
              <w:jc w:val="center"/>
            </w:pPr>
            <w:r>
              <w:t xml:space="preserve">162</w:t>
            </w:r>
          </w:p>
        </w:tc>
      </w:tr>
      <w:tr>
        <w:tc>
          <w:p>
            <w:pPr>
              <w:pStyle w:val="Compact"/>
              <w:jc w:val="center"/>
            </w:pPr>
            <w:r>
              <w:t xml:space="preserve">1995</w:t>
            </w:r>
          </w:p>
        </w:tc>
        <w:tc>
          <w:p>
            <w:pPr>
              <w:pStyle w:val="Compact"/>
              <w:jc w:val="center"/>
            </w:pPr>
            <w:r>
              <w:t xml:space="preserve">132</w:t>
            </w:r>
          </w:p>
        </w:tc>
        <w:tc>
          <w:p>
            <w:pPr>
              <w:pStyle w:val="Compact"/>
              <w:jc w:val="center"/>
            </w:pPr>
            <w:r>
              <w:t xml:space="preserve">21</w:t>
            </w:r>
          </w:p>
        </w:tc>
        <w:tc>
          <w:p>
            <w:pPr>
              <w:pStyle w:val="Compact"/>
              <w:jc w:val="center"/>
            </w:pPr>
            <w:r>
              <w:t xml:space="preserve">21</w:t>
            </w:r>
          </w:p>
        </w:tc>
        <w:tc>
          <w:p>
            <w:pPr>
              <w:pStyle w:val="Compact"/>
              <w:jc w:val="center"/>
            </w:pPr>
            <w:r>
              <w:t xml:space="preserve">156</w:t>
            </w:r>
          </w:p>
        </w:tc>
      </w:tr>
      <w:tr>
        <w:tc>
          <w:p>
            <w:pPr>
              <w:pStyle w:val="Compact"/>
              <w:jc w:val="center"/>
            </w:pPr>
            <w:r>
              <w:t xml:space="preserve">1996</w:t>
            </w:r>
          </w:p>
        </w:tc>
        <w:tc>
          <w:p>
            <w:pPr>
              <w:pStyle w:val="Compact"/>
              <w:jc w:val="center"/>
            </w:pPr>
            <w:r>
              <w:t xml:space="preserve">146</w:t>
            </w:r>
          </w:p>
        </w:tc>
        <w:tc>
          <w:p>
            <w:pPr>
              <w:pStyle w:val="Compact"/>
              <w:jc w:val="center"/>
            </w:pPr>
            <w:r>
              <w:t xml:space="preserve">27</w:t>
            </w:r>
          </w:p>
        </w:tc>
        <w:tc>
          <w:p>
            <w:pPr>
              <w:pStyle w:val="Compact"/>
              <w:jc w:val="center"/>
            </w:pPr>
            <w:r>
              <w:t xml:space="preserve">28</w:t>
            </w:r>
          </w:p>
        </w:tc>
        <w:tc>
          <w:p>
            <w:pPr>
              <w:pStyle w:val="Compact"/>
              <w:jc w:val="center"/>
            </w:pPr>
            <w:r>
              <w:t xml:space="preserve">177</w:t>
            </w:r>
          </w:p>
        </w:tc>
      </w:tr>
      <w:tr>
        <w:tc>
          <w:p>
            <w:pPr>
              <w:pStyle w:val="Compact"/>
              <w:jc w:val="center"/>
            </w:pPr>
            <w:r>
              <w:t xml:space="preserve">1997</w:t>
            </w:r>
          </w:p>
        </w:tc>
        <w:tc>
          <w:p>
            <w:pPr>
              <w:pStyle w:val="Compact"/>
              <w:jc w:val="center"/>
            </w:pPr>
            <w:r>
              <w:t xml:space="preserve">149</w:t>
            </w:r>
          </w:p>
        </w:tc>
        <w:tc>
          <w:p>
            <w:pPr>
              <w:pStyle w:val="Compact"/>
              <w:jc w:val="center"/>
            </w:pPr>
            <w:r>
              <w:t xml:space="preserve">47</w:t>
            </w:r>
          </w:p>
        </w:tc>
        <w:tc>
          <w:p>
            <w:pPr>
              <w:pStyle w:val="Compact"/>
              <w:jc w:val="center"/>
            </w:pPr>
            <w:r>
              <w:t xml:space="preserve">50</w:t>
            </w:r>
          </w:p>
        </w:tc>
        <w:tc>
          <w:p>
            <w:pPr>
              <w:pStyle w:val="Compact"/>
              <w:jc w:val="center"/>
            </w:pPr>
            <w:r>
              <w:t xml:space="preserve">200</w:t>
            </w:r>
          </w:p>
        </w:tc>
      </w:tr>
      <w:tr>
        <w:tc>
          <w:p>
            <w:pPr>
              <w:pStyle w:val="Compact"/>
              <w:jc w:val="center"/>
            </w:pPr>
            <w:r>
              <w:t xml:space="preserve">1998</w:t>
            </w:r>
          </w:p>
        </w:tc>
        <w:tc>
          <w:p>
            <w:pPr>
              <w:pStyle w:val="Compact"/>
              <w:jc w:val="center"/>
            </w:pPr>
            <w:r>
              <w:t xml:space="preserve">164</w:t>
            </w:r>
          </w:p>
        </w:tc>
        <w:tc>
          <w:p>
            <w:pPr>
              <w:pStyle w:val="Compact"/>
              <w:jc w:val="center"/>
            </w:pPr>
            <w:r>
              <w:t xml:space="preserve">26</w:t>
            </w:r>
          </w:p>
        </w:tc>
        <w:tc>
          <w:p>
            <w:pPr>
              <w:pStyle w:val="Compact"/>
              <w:jc w:val="center"/>
            </w:pPr>
            <w:r>
              <w:t xml:space="preserve">30</w:t>
            </w:r>
          </w:p>
        </w:tc>
        <w:tc>
          <w:p>
            <w:pPr>
              <w:pStyle w:val="Compact"/>
              <w:jc w:val="center"/>
            </w:pPr>
            <w:r>
              <w:t xml:space="preserve">155</w:t>
            </w:r>
          </w:p>
        </w:tc>
      </w:tr>
      <w:tr>
        <w:tc>
          <w:p>
            <w:pPr>
              <w:pStyle w:val="Compact"/>
              <w:jc w:val="center"/>
            </w:pPr>
            <w:r>
              <w:t xml:space="preserve">1999</w:t>
            </w:r>
          </w:p>
        </w:tc>
        <w:tc>
          <w:p>
            <w:pPr>
              <w:pStyle w:val="Compact"/>
              <w:jc w:val="center"/>
            </w:pPr>
            <w:r>
              <w:t xml:space="preserve">378</w:t>
            </w:r>
          </w:p>
        </w:tc>
        <w:tc>
          <w:p>
            <w:pPr>
              <w:pStyle w:val="Compact"/>
              <w:jc w:val="center"/>
            </w:pPr>
            <w:r>
              <w:t xml:space="preserve">47</w:t>
            </w:r>
          </w:p>
        </w:tc>
        <w:tc>
          <w:p>
            <w:pPr>
              <w:pStyle w:val="Compact"/>
              <w:jc w:val="center"/>
            </w:pPr>
            <w:r>
              <w:t xml:space="preserve">69</w:t>
            </w:r>
          </w:p>
        </w:tc>
        <w:tc>
          <w:p>
            <w:pPr>
              <w:pStyle w:val="Compact"/>
              <w:jc w:val="center"/>
            </w:pPr>
            <w:r>
              <w:t xml:space="preserve">216</w:t>
            </w:r>
          </w:p>
        </w:tc>
      </w:tr>
      <w:tr>
        <w:tc>
          <w:p>
            <w:pPr>
              <w:pStyle w:val="Compact"/>
              <w:jc w:val="center"/>
            </w:pPr>
            <w:r>
              <w:t xml:space="preserve">2000</w:t>
            </w:r>
          </w:p>
        </w:tc>
        <w:tc>
          <w:p>
            <w:pPr>
              <w:pStyle w:val="Compact"/>
              <w:jc w:val="center"/>
            </w:pPr>
            <w:r>
              <w:t xml:space="preserve">422</w:t>
            </w:r>
          </w:p>
        </w:tc>
        <w:tc>
          <w:p>
            <w:pPr>
              <w:pStyle w:val="Compact"/>
              <w:jc w:val="center"/>
            </w:pPr>
            <w:r>
              <w:t xml:space="preserve">42</w:t>
            </w:r>
          </w:p>
        </w:tc>
        <w:tc>
          <w:p>
            <w:pPr>
              <w:pStyle w:val="Compact"/>
              <w:jc w:val="center"/>
            </w:pPr>
            <w:r>
              <w:t xml:space="preserve">59</w:t>
            </w:r>
          </w:p>
        </w:tc>
        <w:tc>
          <w:p>
            <w:pPr>
              <w:pStyle w:val="Compact"/>
              <w:jc w:val="center"/>
            </w:pPr>
            <w:r>
              <w:t xml:space="preserve">222</w:t>
            </w:r>
          </w:p>
        </w:tc>
      </w:tr>
      <w:tr>
        <w:tc>
          <w:p>
            <w:pPr>
              <w:pStyle w:val="Compact"/>
              <w:jc w:val="center"/>
            </w:pPr>
            <w:r>
              <w:t xml:space="preserve">2001</w:t>
            </w:r>
          </w:p>
        </w:tc>
        <w:tc>
          <w:p>
            <w:pPr>
              <w:pStyle w:val="Compact"/>
              <w:jc w:val="center"/>
            </w:pPr>
            <w:r>
              <w:t xml:space="preserve">401</w:t>
            </w:r>
          </w:p>
        </w:tc>
        <w:tc>
          <w:p>
            <w:pPr>
              <w:pStyle w:val="Compact"/>
              <w:jc w:val="center"/>
            </w:pPr>
            <w:r>
              <w:t xml:space="preserve">46</w:t>
            </w:r>
          </w:p>
        </w:tc>
        <w:tc>
          <w:p>
            <w:pPr>
              <w:pStyle w:val="Compact"/>
              <w:jc w:val="center"/>
            </w:pPr>
            <w:r>
              <w:t xml:space="preserve">68</w:t>
            </w:r>
          </w:p>
        </w:tc>
        <w:tc>
          <w:p>
            <w:pPr>
              <w:pStyle w:val="Compact"/>
              <w:jc w:val="center"/>
            </w:pPr>
            <w:r>
              <w:t xml:space="preserve">237</w:t>
            </w:r>
          </w:p>
        </w:tc>
      </w:tr>
      <w:tr>
        <w:tc>
          <w:p>
            <w:pPr>
              <w:pStyle w:val="Compact"/>
              <w:jc w:val="center"/>
            </w:pPr>
            <w:r>
              <w:t xml:space="preserve">2002</w:t>
            </w:r>
          </w:p>
        </w:tc>
        <w:tc>
          <w:p>
            <w:pPr>
              <w:pStyle w:val="Compact"/>
              <w:jc w:val="center"/>
            </w:pPr>
            <w:r>
              <w:t xml:space="preserve">453</w:t>
            </w:r>
          </w:p>
        </w:tc>
        <w:tc>
          <w:p>
            <w:pPr>
              <w:pStyle w:val="Compact"/>
              <w:jc w:val="center"/>
            </w:pPr>
            <w:r>
              <w:t xml:space="preserve">38</w:t>
            </w:r>
          </w:p>
        </w:tc>
        <w:tc>
          <w:p>
            <w:pPr>
              <w:pStyle w:val="Compact"/>
              <w:jc w:val="center"/>
            </w:pPr>
            <w:r>
              <w:t xml:space="preserve">69</w:t>
            </w:r>
          </w:p>
        </w:tc>
        <w:tc>
          <w:p>
            <w:pPr>
              <w:pStyle w:val="Compact"/>
              <w:jc w:val="center"/>
            </w:pPr>
            <w:r>
              <w:t xml:space="preserve">211</w:t>
            </w:r>
          </w:p>
        </w:tc>
      </w:tr>
      <w:tr>
        <w:tc>
          <w:p>
            <w:pPr>
              <w:pStyle w:val="Compact"/>
              <w:jc w:val="center"/>
            </w:pPr>
            <w:r>
              <w:t xml:space="preserve">2003</w:t>
            </w:r>
          </w:p>
        </w:tc>
        <w:tc>
          <w:p>
            <w:pPr>
              <w:pStyle w:val="Compact"/>
              <w:jc w:val="center"/>
            </w:pPr>
            <w:r>
              <w:t xml:space="preserve">459</w:t>
            </w:r>
          </w:p>
        </w:tc>
        <w:tc>
          <w:p>
            <w:pPr>
              <w:pStyle w:val="Compact"/>
              <w:jc w:val="center"/>
            </w:pPr>
            <w:r>
              <w:t xml:space="preserve">46</w:t>
            </w:r>
          </w:p>
        </w:tc>
        <w:tc>
          <w:p>
            <w:pPr>
              <w:pStyle w:val="Compact"/>
              <w:jc w:val="center"/>
            </w:pPr>
            <w:r>
              <w:t xml:space="preserve">72</w:t>
            </w:r>
          </w:p>
        </w:tc>
        <w:tc>
          <w:p>
            <w:pPr>
              <w:pStyle w:val="Compact"/>
              <w:jc w:val="center"/>
            </w:pPr>
            <w:r>
              <w:t xml:space="preserve">231</w:t>
            </w:r>
          </w:p>
        </w:tc>
      </w:tr>
      <w:tr>
        <w:tc>
          <w:p>
            <w:pPr>
              <w:pStyle w:val="Compact"/>
              <w:jc w:val="center"/>
            </w:pPr>
            <w:r>
              <w:t xml:space="preserve">2004</w:t>
            </w:r>
          </w:p>
        </w:tc>
        <w:tc>
          <w:p>
            <w:pPr>
              <w:pStyle w:val="Compact"/>
              <w:jc w:val="center"/>
            </w:pPr>
            <w:r>
              <w:t xml:space="preserve">479</w:t>
            </w:r>
          </w:p>
        </w:tc>
        <w:tc>
          <w:p>
            <w:pPr>
              <w:pStyle w:val="Compact"/>
              <w:jc w:val="center"/>
            </w:pPr>
            <w:r>
              <w:t xml:space="preserve">26</w:t>
            </w:r>
          </w:p>
        </w:tc>
        <w:tc>
          <w:p>
            <w:pPr>
              <w:pStyle w:val="Compact"/>
              <w:jc w:val="center"/>
            </w:pPr>
            <w:r>
              <w:t xml:space="preserve">48</w:t>
            </w:r>
          </w:p>
        </w:tc>
        <w:tc>
          <w:p>
            <w:pPr>
              <w:pStyle w:val="Compact"/>
              <w:jc w:val="center"/>
            </w:pPr>
            <w:r>
              <w:t xml:space="preserve">235</w:t>
            </w:r>
          </w:p>
        </w:tc>
      </w:tr>
      <w:tr>
        <w:tc>
          <w:p>
            <w:pPr>
              <w:pStyle w:val="Compact"/>
              <w:jc w:val="center"/>
            </w:pPr>
            <w:r>
              <w:t xml:space="preserve">2005</w:t>
            </w:r>
          </w:p>
        </w:tc>
        <w:tc>
          <w:p>
            <w:pPr>
              <w:pStyle w:val="Compact"/>
              <w:jc w:val="center"/>
            </w:pPr>
            <w:r>
              <w:t xml:space="preserve">496</w:t>
            </w:r>
          </w:p>
        </w:tc>
        <w:tc>
          <w:p>
            <w:pPr>
              <w:pStyle w:val="Compact"/>
              <w:jc w:val="center"/>
            </w:pPr>
            <w:r>
              <w:t xml:space="preserve">49</w:t>
            </w:r>
          </w:p>
        </w:tc>
        <w:tc>
          <w:p>
            <w:pPr>
              <w:pStyle w:val="Compact"/>
              <w:jc w:val="center"/>
            </w:pPr>
            <w:r>
              <w:t xml:space="preserve">76</w:t>
            </w:r>
          </w:p>
        </w:tc>
        <w:tc>
          <w:p>
            <w:pPr>
              <w:pStyle w:val="Compact"/>
              <w:jc w:val="center"/>
            </w:pPr>
            <w:r>
              <w:t xml:space="preserve">235</w:t>
            </w:r>
          </w:p>
        </w:tc>
      </w:tr>
      <w:tr>
        <w:tc>
          <w:p>
            <w:pPr>
              <w:pStyle w:val="Compact"/>
              <w:jc w:val="center"/>
            </w:pPr>
            <w:r>
              <w:t xml:space="preserve">2006</w:t>
            </w:r>
          </w:p>
        </w:tc>
        <w:tc>
          <w:p>
            <w:pPr>
              <w:pStyle w:val="Compact"/>
              <w:jc w:val="center"/>
            </w:pPr>
            <w:r>
              <w:t xml:space="preserve">482</w:t>
            </w:r>
          </w:p>
        </w:tc>
        <w:tc>
          <w:p>
            <w:pPr>
              <w:pStyle w:val="Compact"/>
              <w:jc w:val="center"/>
            </w:pPr>
            <w:r>
              <w:t xml:space="preserve">47</w:t>
            </w:r>
          </w:p>
        </w:tc>
        <w:tc>
          <w:p>
            <w:pPr>
              <w:pStyle w:val="Compact"/>
              <w:jc w:val="center"/>
            </w:pPr>
            <w:r>
              <w:t xml:space="preserve">76</w:t>
            </w:r>
          </w:p>
        </w:tc>
        <w:tc>
          <w:p>
            <w:pPr>
              <w:pStyle w:val="Compact"/>
              <w:jc w:val="center"/>
            </w:pPr>
            <w:r>
              <w:t xml:space="preserve">236</w:t>
            </w:r>
          </w:p>
        </w:tc>
      </w:tr>
      <w:tr>
        <w:tc>
          <w:p>
            <w:pPr>
              <w:pStyle w:val="Compact"/>
              <w:jc w:val="center"/>
            </w:pPr>
            <w:r>
              <w:t xml:space="preserve">2007</w:t>
            </w:r>
          </w:p>
        </w:tc>
        <w:tc>
          <w:p>
            <w:pPr>
              <w:pStyle w:val="Compact"/>
              <w:jc w:val="center"/>
            </w:pPr>
            <w:r>
              <w:t xml:space="preserve">450</w:t>
            </w:r>
          </w:p>
        </w:tc>
        <w:tc>
          <w:p>
            <w:pPr>
              <w:pStyle w:val="Compact"/>
              <w:jc w:val="center"/>
            </w:pPr>
            <w:r>
              <w:t xml:space="preserve">45</w:t>
            </w:r>
          </w:p>
        </w:tc>
        <w:tc>
          <w:p>
            <w:pPr>
              <w:pStyle w:val="Compact"/>
              <w:jc w:val="center"/>
            </w:pPr>
            <w:r>
              <w:t xml:space="preserve">71</w:t>
            </w:r>
          </w:p>
        </w:tc>
        <w:tc>
          <w:p>
            <w:pPr>
              <w:pStyle w:val="Compact"/>
              <w:jc w:val="center"/>
            </w:pPr>
            <w:r>
              <w:t xml:space="preserve">165</w:t>
            </w:r>
          </w:p>
        </w:tc>
      </w:tr>
      <w:tr>
        <w:tc>
          <w:p>
            <w:pPr>
              <w:pStyle w:val="Compact"/>
              <w:jc w:val="center"/>
            </w:pPr>
            <w:r>
              <w:t xml:space="preserve">2008</w:t>
            </w:r>
          </w:p>
        </w:tc>
        <w:tc>
          <w:p>
            <w:pPr>
              <w:pStyle w:val="Compact"/>
              <w:jc w:val="center"/>
            </w:pPr>
            <w:r>
              <w:t xml:space="preserve">454</w:t>
            </w:r>
          </w:p>
        </w:tc>
        <w:tc>
          <w:p>
            <w:pPr>
              <w:pStyle w:val="Compact"/>
              <w:jc w:val="center"/>
            </w:pPr>
            <w:r>
              <w:t xml:space="preserve">47</w:t>
            </w:r>
          </w:p>
        </w:tc>
        <w:tc>
          <w:p>
            <w:pPr>
              <w:pStyle w:val="Compact"/>
              <w:jc w:val="center"/>
            </w:pPr>
            <w:r>
              <w:t xml:space="preserve">68</w:t>
            </w:r>
          </w:p>
        </w:tc>
        <w:tc>
          <w:p>
            <w:pPr>
              <w:pStyle w:val="Compact"/>
              <w:jc w:val="center"/>
            </w:pPr>
            <w:r>
              <w:t xml:space="preserve">181</w:t>
            </w:r>
          </w:p>
        </w:tc>
      </w:tr>
      <w:tr>
        <w:tc>
          <w:p>
            <w:pPr>
              <w:pStyle w:val="Compact"/>
              <w:jc w:val="center"/>
            </w:pPr>
            <w:r>
              <w:t xml:space="preserve">2009</w:t>
            </w:r>
          </w:p>
        </w:tc>
        <w:tc>
          <w:p>
            <w:pPr>
              <w:pStyle w:val="Compact"/>
              <w:jc w:val="center"/>
            </w:pPr>
            <w:r>
              <w:t xml:space="preserve">454</w:t>
            </w:r>
          </w:p>
        </w:tc>
        <w:tc>
          <w:p>
            <w:pPr>
              <w:pStyle w:val="Compact"/>
              <w:jc w:val="center"/>
            </w:pPr>
            <w:r>
              <w:t xml:space="preserve">43</w:t>
            </w:r>
          </w:p>
        </w:tc>
        <w:tc>
          <w:p>
            <w:pPr>
              <w:pStyle w:val="Compact"/>
              <w:jc w:val="center"/>
            </w:pPr>
            <w:r>
              <w:t xml:space="preserve">67</w:t>
            </w:r>
          </w:p>
        </w:tc>
        <w:tc>
          <w:p>
            <w:pPr>
              <w:pStyle w:val="Compact"/>
              <w:jc w:val="center"/>
            </w:pPr>
            <w:r>
              <w:t xml:space="preserve">168</w:t>
            </w:r>
          </w:p>
        </w:tc>
      </w:tr>
      <w:tr>
        <w:tc>
          <w:p>
            <w:pPr>
              <w:pStyle w:val="Compact"/>
              <w:jc w:val="center"/>
            </w:pPr>
            <w:r>
              <w:t xml:space="preserve">2010</w:t>
            </w:r>
          </w:p>
        </w:tc>
        <w:tc>
          <w:p>
            <w:pPr>
              <w:pStyle w:val="Compact"/>
              <w:jc w:val="center"/>
            </w:pPr>
            <w:r>
              <w:t xml:space="preserve">451</w:t>
            </w:r>
          </w:p>
        </w:tc>
        <w:tc>
          <w:p>
            <w:pPr>
              <w:pStyle w:val="Compact"/>
              <w:jc w:val="center"/>
            </w:pPr>
            <w:r>
              <w:t xml:space="preserve">47</w:t>
            </w:r>
          </w:p>
        </w:tc>
        <w:tc>
          <w:p>
            <w:pPr>
              <w:pStyle w:val="Compact"/>
              <w:jc w:val="center"/>
            </w:pPr>
            <w:r>
              <w:t xml:space="preserve">75</w:t>
            </w:r>
          </w:p>
        </w:tc>
        <w:tc>
          <w:p>
            <w:pPr>
              <w:pStyle w:val="Compact"/>
              <w:jc w:val="center"/>
            </w:pPr>
            <w:r>
              <w:t xml:space="preserve">169</w:t>
            </w:r>
          </w:p>
        </w:tc>
      </w:tr>
      <w:tr>
        <w:tc>
          <w:p>
            <w:pPr>
              <w:pStyle w:val="Compact"/>
              <w:jc w:val="center"/>
            </w:pPr>
            <w:r>
              <w:t xml:space="preserve">2011</w:t>
            </w:r>
          </w:p>
        </w:tc>
        <w:tc>
          <w:p>
            <w:pPr>
              <w:pStyle w:val="Compact"/>
              <w:jc w:val="center"/>
            </w:pPr>
            <w:r>
              <w:t xml:space="preserve">366</w:t>
            </w:r>
          </w:p>
        </w:tc>
        <w:tc>
          <w:p>
            <w:pPr>
              <w:pStyle w:val="Compact"/>
              <w:jc w:val="center"/>
            </w:pPr>
            <w:r>
              <w:t xml:space="preserve">7</w:t>
            </w:r>
          </w:p>
        </w:tc>
        <w:tc>
          <w:p>
            <w:pPr>
              <w:pStyle w:val="Compact"/>
              <w:jc w:val="center"/>
            </w:pPr>
            <w:r>
              <w:t xml:space="preserve">27</w:t>
            </w:r>
          </w:p>
        </w:tc>
        <w:tc>
          <w:p>
            <w:pPr>
              <w:pStyle w:val="Compact"/>
              <w:jc w:val="center"/>
            </w:pPr>
            <w:r>
              <w:t xml:space="preserve">89</w:t>
            </w:r>
          </w:p>
        </w:tc>
      </w:tr>
      <w:tr>
        <w:tc>
          <w:p>
            <w:pPr>
              <w:pStyle w:val="Compact"/>
              <w:jc w:val="center"/>
            </w:pPr>
            <w:r>
              <w:t xml:space="preserve">2012</w:t>
            </w:r>
          </w:p>
        </w:tc>
        <w:tc>
          <w:p>
            <w:pPr>
              <w:pStyle w:val="Compact"/>
              <w:jc w:val="center"/>
            </w:pPr>
            <w:r>
              <w:t xml:space="preserve">260</w:t>
            </w:r>
          </w:p>
        </w:tc>
        <w:tc>
          <w:p>
            <w:pPr>
              <w:pStyle w:val="Compact"/>
              <w:jc w:val="center"/>
            </w:pPr>
            <w:r>
              <w:t xml:space="preserve">NA</w:t>
            </w:r>
          </w:p>
        </w:tc>
        <w:tc>
          <w:p>
            <w:pPr>
              <w:pStyle w:val="Compact"/>
              <w:jc w:val="center"/>
            </w:pPr>
            <w:r>
              <w:t xml:space="preserve">18</w:t>
            </w:r>
          </w:p>
        </w:tc>
        <w:tc>
          <w:p>
            <w:pPr>
              <w:pStyle w:val="Compact"/>
              <w:jc w:val="center"/>
            </w:pPr>
            <w:r>
              <w:t xml:space="preserve">45</w:t>
            </w:r>
          </w:p>
        </w:tc>
      </w:tr>
      <w:tr>
        <w:tc>
          <w:p>
            <w:pPr>
              <w:pStyle w:val="Compact"/>
              <w:jc w:val="center"/>
            </w:pPr>
            <w:r>
              <w:t xml:space="preserve">2013</w:t>
            </w:r>
          </w:p>
        </w:tc>
        <w:tc>
          <w:p>
            <w:pPr>
              <w:pStyle w:val="Compact"/>
              <w:jc w:val="center"/>
            </w:pPr>
            <w:r>
              <w:t xml:space="preserve">11</w:t>
            </w:r>
          </w:p>
        </w:tc>
        <w:tc>
          <w:p>
            <w:pPr>
              <w:pStyle w:val="Compact"/>
              <w:jc w:val="center"/>
            </w:pPr>
            <w:r>
              <w:t xml:space="preserve">NA</w:t>
            </w:r>
          </w:p>
        </w:tc>
        <w:tc>
          <w:p>
            <w:pPr>
              <w:pStyle w:val="Compact"/>
              <w:jc w:val="center"/>
            </w:pPr>
            <w:r>
              <w:t xml:space="preserve">NA</w:t>
            </w:r>
          </w:p>
        </w:tc>
        <w:tc>
          <w:p>
            <w:pPr>
              <w:pStyle w:val="Compact"/>
              <w:jc w:val="center"/>
            </w:pPr>
            <w:r>
              <w:t xml:space="preserve">40</w:t>
            </w:r>
          </w:p>
        </w:tc>
      </w:tr>
    </w:tbl>
    <w:p>
      <w:pPr>
        <w:pStyle w:val="BodyText"/>
      </w:pPr>
      <w:r>
        <w:t xml:space="preserve">Table 2: Number of LAGOSNE sites available for trend analysis by parameter and year.</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Temperature</w:t>
            </w:r>
          </w:p>
        </w:tc>
        <w:tc>
          <w:p>
            <w:pPr>
              <w:pStyle w:val="Compact"/>
              <w:jc w:val="center"/>
            </w:pPr>
            <w:r>
              <w:t xml:space="preserve">°C</w:t>
            </w:r>
          </w:p>
        </w:tc>
        <w:tc>
          <w:p>
            <w:pPr>
              <w:pStyle w:val="Compact"/>
              <w:jc w:val="center"/>
            </w:pPr>
            <w:r>
              <w:t xml:space="preserve">22.1</w:t>
            </w:r>
          </w:p>
        </w:tc>
        <w:tc>
          <w:p>
            <w:pPr>
              <w:pStyle w:val="Compact"/>
              <w:jc w:val="center"/>
            </w:pPr>
            <w:r>
              <w:t xml:space="preserve">22.2</w:t>
            </w:r>
          </w:p>
        </w:tc>
        <w:tc>
          <w:p>
            <w:pPr>
              <w:pStyle w:val="Compact"/>
              <w:jc w:val="center"/>
            </w:pPr>
            <w:r>
              <w:t xml:space="preserve">26.7</w:t>
            </w:r>
          </w:p>
        </w:tc>
        <w:tc>
          <w:p>
            <w:pPr>
              <w:pStyle w:val="Compact"/>
              <w:jc w:val="center"/>
            </w:pPr>
            <w:r>
              <w:t xml:space="preserve">1.5</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605</w:t>
            </w:r>
          </w:p>
        </w:tc>
        <w:tc>
          <w:p>
            <w:pPr>
              <w:pStyle w:val="Compact"/>
              <w:jc w:val="center"/>
            </w:pPr>
            <w:r>
              <w:t xml:space="preserve">480</w:t>
            </w:r>
          </w:p>
        </w:tc>
        <w:tc>
          <w:p>
            <w:pPr>
              <w:pStyle w:val="Compact"/>
              <w:jc w:val="center"/>
            </w:pPr>
            <w:r>
              <w:t xml:space="preserve">4670</w:t>
            </w:r>
          </w:p>
        </w:tc>
        <w:tc>
          <w:p>
            <w:pPr>
              <w:pStyle w:val="Compact"/>
              <w:jc w:val="center"/>
            </w:pPr>
            <w:r>
              <w:t xml:space="preserve">400</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23</w:t>
            </w:r>
          </w:p>
        </w:tc>
        <w:tc>
          <w:p>
            <w:pPr>
              <w:pStyle w:val="Compact"/>
              <w:jc w:val="center"/>
            </w:pPr>
            <w:r>
              <w:t xml:space="preserve">15</w:t>
            </w:r>
          </w:p>
        </w:tc>
        <w:tc>
          <w:p>
            <w:pPr>
              <w:pStyle w:val="Compact"/>
              <w:jc w:val="center"/>
            </w:pPr>
            <w:r>
              <w:t xml:space="preserve">325</w:t>
            </w:r>
          </w:p>
        </w:tc>
        <w:tc>
          <w:p>
            <w:pPr>
              <w:pStyle w:val="Compact"/>
              <w:jc w:val="center"/>
            </w:pPr>
            <w:r>
              <w:t xml:space="preserve">30</w:t>
            </w:r>
          </w:p>
        </w:tc>
      </w:tr>
      <w:tr>
        <w:tc>
          <w:p>
            <w:pPr>
              <w:pStyle w:val="Compact"/>
              <w:jc w:val="center"/>
            </w:pPr>
            <w:r>
              <w:t xml:space="preserve">N:P</w:t>
            </w:r>
          </w:p>
        </w:tc>
        <w:tc>
          <w:p>
            <w:pPr>
              <w:pStyle w:val="Compact"/>
              <w:jc w:val="center"/>
            </w:pPr>
            <w:r>
              <w:t xml:space="preserve">molar</w:t>
            </w:r>
          </w:p>
        </w:tc>
        <w:tc>
          <w:p>
            <w:pPr>
              <w:pStyle w:val="Compact"/>
              <w:jc w:val="center"/>
            </w:pPr>
            <w:r>
              <w:t xml:space="preserve">85.03</w:t>
            </w:r>
          </w:p>
        </w:tc>
        <w:tc>
          <w:p>
            <w:pPr>
              <w:pStyle w:val="Compact"/>
              <w:jc w:val="center"/>
            </w:pPr>
            <w:r>
              <w:t xml:space="preserve">72</w:t>
            </w:r>
          </w:p>
        </w:tc>
        <w:tc>
          <w:p>
            <w:pPr>
              <w:pStyle w:val="Compact"/>
              <w:jc w:val="center"/>
            </w:pPr>
            <w:r>
              <w:t xml:space="preserve">402</w:t>
            </w:r>
          </w:p>
        </w:tc>
        <w:tc>
          <w:p>
            <w:pPr>
              <w:pStyle w:val="Compact"/>
              <w:jc w:val="center"/>
            </w:pPr>
            <w:r>
              <w:t xml:space="preserve">50</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9.5</w:t>
            </w:r>
          </w:p>
        </w:tc>
        <w:tc>
          <w:p>
            <w:pPr>
              <w:pStyle w:val="Compact"/>
              <w:jc w:val="center"/>
            </w:pPr>
            <w:r>
              <w:t xml:space="preserve">4.5</w:t>
            </w:r>
          </w:p>
        </w:tc>
        <w:tc>
          <w:p>
            <w:pPr>
              <w:pStyle w:val="Compact"/>
              <w:jc w:val="center"/>
            </w:pPr>
            <w:r>
              <w:t xml:space="preserve">152.6</w:t>
            </w:r>
          </w:p>
        </w:tc>
        <w:tc>
          <w:p>
            <w:pPr>
              <w:pStyle w:val="Compact"/>
              <w:jc w:val="center"/>
            </w:pPr>
            <w:r>
              <w:t xml:space="preserve">14.3</w:t>
            </w:r>
          </w:p>
        </w:tc>
      </w:tr>
    </w:tbl>
    <w:p>
      <w:pPr>
        <w:pStyle w:val="BodyText"/>
      </w:pPr>
      <w:r>
        <w:t xml:space="preserve">Table 3: Summary statistics for URI Watershed Watch data from 1993 to 2016.</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730</w:t>
            </w:r>
          </w:p>
        </w:tc>
        <w:tc>
          <w:p>
            <w:pPr>
              <w:pStyle w:val="Compact"/>
              <w:jc w:val="center"/>
            </w:pPr>
            <w:r>
              <w:t xml:space="preserve">560</w:t>
            </w:r>
          </w:p>
        </w:tc>
        <w:tc>
          <w:p>
            <w:pPr>
              <w:pStyle w:val="Compact"/>
              <w:jc w:val="center"/>
            </w:pPr>
            <w:r>
              <w:t xml:space="preserve">9920</w:t>
            </w:r>
          </w:p>
        </w:tc>
        <w:tc>
          <w:p>
            <w:pPr>
              <w:pStyle w:val="Compact"/>
              <w:jc w:val="center"/>
            </w:pPr>
            <w:r>
              <w:t xml:space="preserve">685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31</w:t>
            </w:r>
          </w:p>
        </w:tc>
        <w:tc>
          <w:p>
            <w:pPr>
              <w:pStyle w:val="Compact"/>
              <w:jc w:val="center"/>
            </w:pPr>
            <w:r>
              <w:t xml:space="preserve">17</w:t>
            </w:r>
          </w:p>
        </w:tc>
        <w:tc>
          <w:p>
            <w:pPr>
              <w:pStyle w:val="Compact"/>
              <w:jc w:val="center"/>
            </w:pPr>
            <w:r>
              <w:t xml:space="preserve">767</w:t>
            </w:r>
          </w:p>
        </w:tc>
        <w:tc>
          <w:p>
            <w:pPr>
              <w:pStyle w:val="Compact"/>
              <w:jc w:val="center"/>
            </w:pPr>
            <w:r>
              <w:t xml:space="preserve">46</w:t>
            </w:r>
          </w:p>
        </w:tc>
      </w:tr>
      <w:tr>
        <w:tc>
          <w:p>
            <w:pPr>
              <w:pStyle w:val="Compact"/>
              <w:jc w:val="center"/>
            </w:pPr>
            <w:r>
              <w:t xml:space="preserve">N:P</w:t>
            </w:r>
          </w:p>
        </w:tc>
        <w:tc>
          <w:p>
            <w:pPr>
              <w:pStyle w:val="Compact"/>
              <w:jc w:val="center"/>
            </w:pPr>
            <w:r>
              <w:t xml:space="preserve">molar</w:t>
            </w:r>
          </w:p>
        </w:tc>
        <w:tc>
          <w:p>
            <w:pPr>
              <w:pStyle w:val="Compact"/>
              <w:jc w:val="center"/>
            </w:pPr>
            <w:r>
              <w:t xml:space="preserve">87.56</w:t>
            </w:r>
          </w:p>
        </w:tc>
        <w:tc>
          <w:p>
            <w:pPr>
              <w:pStyle w:val="Compact"/>
              <w:jc w:val="center"/>
            </w:pPr>
            <w:r>
              <w:t xml:space="preserve">68</w:t>
            </w:r>
          </w:p>
        </w:tc>
        <w:tc>
          <w:p>
            <w:pPr>
              <w:pStyle w:val="Compact"/>
              <w:jc w:val="center"/>
            </w:pPr>
            <w:r>
              <w:t xml:space="preserve">1550</w:t>
            </w:r>
          </w:p>
        </w:tc>
        <w:tc>
          <w:p>
            <w:pPr>
              <w:pStyle w:val="Compact"/>
              <w:jc w:val="center"/>
            </w:pPr>
            <w:r>
              <w:t xml:space="preserve">79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16.1</w:t>
            </w:r>
          </w:p>
        </w:tc>
        <w:tc>
          <w:p>
            <w:pPr>
              <w:pStyle w:val="Compact"/>
              <w:jc w:val="center"/>
            </w:pPr>
            <w:r>
              <w:t xml:space="preserve">6.8</w:t>
            </w:r>
          </w:p>
        </w:tc>
        <w:tc>
          <w:p>
            <w:pPr>
              <w:pStyle w:val="Compact"/>
              <w:jc w:val="center"/>
            </w:pPr>
            <w:r>
              <w:t xml:space="preserve">311.6</w:t>
            </w:r>
          </w:p>
        </w:tc>
        <w:tc>
          <w:p>
            <w:pPr>
              <w:pStyle w:val="Compact"/>
              <w:jc w:val="center"/>
            </w:pPr>
            <w:r>
              <w:t xml:space="preserve">24.9</w:t>
            </w:r>
          </w:p>
        </w:tc>
      </w:tr>
    </w:tbl>
    <w:p>
      <w:pPr>
        <w:pStyle w:val="BodyText"/>
      </w:pPr>
      <w:r>
        <w:t xml:space="preserve">Table 4: Summary statistics for LAGOSNE data from 1993 to 2016.</w:t>
      </w:r>
    </w:p>
    <w:p>
      <w:pPr>
        <w:pStyle w:val="Heading6"/>
      </w:pPr>
      <w:bookmarkStart w:id="97" w:name="section-1"/>
      <w:bookmarkEnd w:id="97"/>
    </w:p>
    <w:p>
      <w:pPr>
        <w:pStyle w:val="Heading1"/>
      </w:pPr>
      <w:bookmarkStart w:id="98" w:name="figures"/>
      <w:r>
        <w:t xml:space="preserve">Figures</w:t>
      </w:r>
      <w:bookmarkEnd w:id="98"/>
    </w:p>
    <w:p>
      <w:pPr>
        <w:pStyle w:val="FirstParagraph"/>
      </w:pPr>
      <w:r>
        <w:drawing>
          <wp:inline>
            <wp:extent cx="5212080" cy="6812280"/>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99"/>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1: Map of URI Watershed Watch lake and reservoir sampling sites</w:t>
      </w:r>
    </w:p>
    <w:p>
      <w:pPr>
        <w:pStyle w:val="Heading6"/>
      </w:pPr>
      <w:bookmarkStart w:id="100" w:name="section-2"/>
      <w:bookmarkEnd w:id="100"/>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01"/>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mean anomalies.</w:t>
      </w:r>
    </w:p>
    <w:p>
      <w:pPr>
        <w:pStyle w:val="Heading6"/>
      </w:pPr>
      <w:bookmarkStart w:id="102" w:name="section-3"/>
      <w:bookmarkEnd w:id="102"/>
    </w:p>
    <w:p>
      <w:pPr>
        <w:pStyle w:val="FirstParagraph"/>
      </w:pPr>
      <w:r>
        <w:drawing>
          <wp:inline>
            <wp:extent cx="5943600" cy="4457700"/>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0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3: Yearly trend over 20+ years of lake temperature (mean anomaly) in Rhode Island lakes and reservoirs.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4" w:name="section-4"/>
      <w:bookmarkEnd w:id="104"/>
    </w:p>
    <w:p>
      <w:pPr>
        <w:pStyle w:val="FirstParagraph"/>
      </w:pPr>
      <w:r>
        <w:drawing>
          <wp:inline>
            <wp:extent cx="5212080" cy="6812280"/>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05"/>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4: Yearly trend over 20+ years of chlorphyll a (mean anomaly). Panel A. Yearly mean chlorophyll a anomalies from the URI Watershed Watch data. Panel B. Yearly mean chlorophyll a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6"/>
      </w:pPr>
      <w:bookmarkStart w:id="106" w:name="section-5"/>
      <w:bookmarkEnd w:id="106"/>
    </w:p>
    <w:p>
      <w:pPr>
        <w:pStyle w:val="FirstParagraph"/>
      </w:pPr>
      <w:r>
        <w:drawing>
          <wp:inline>
            <wp:extent cx="5212080" cy="6812280"/>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07"/>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5: Yearly trend over 20+ years of TN (mean anomaly). Panel A. Yearly mean TN anomalies from the URI Watershed Watch dataset. Panel B. Yearly mean TN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Grey indicates yearly site specifica anomalies that were, on average equal to the long-term means. Missing years had insufficient data to calculate mean and standard deviation and an asterisk indicates year with only 3 sites and error bars are the range of the data.</w:t>
      </w:r>
    </w:p>
    <w:p>
      <w:pPr>
        <w:pStyle w:val="Heading6"/>
      </w:pPr>
      <w:bookmarkStart w:id="108" w:name="section-6"/>
      <w:bookmarkEnd w:id="108"/>
    </w:p>
    <w:p>
      <w:pPr>
        <w:pStyle w:val="FirstParagraph"/>
      </w:pPr>
      <w:r>
        <w:drawing>
          <wp:inline>
            <wp:extent cx="5212080" cy="6812280"/>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09"/>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6: Yearly trend over 20+ years of TP (mean anomaly). Panel A. Yearly mean TP anomalies from the URI Watershed Watch dataset. Panel B. Yearly mean TP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Missing years had insufficient data to calculate mean and standard deviation and an asterisk indicates year with only 3 sites and error bars are the range of the data.</w:t>
      </w:r>
    </w:p>
    <w:p>
      <w:pPr>
        <w:pStyle w:val="Heading6"/>
      </w:pPr>
      <w:bookmarkStart w:id="110" w:name="section-7"/>
      <w:bookmarkEnd w:id="110"/>
    </w:p>
    <w:p>
      <w:pPr>
        <w:pStyle w:val="FirstParagraph"/>
      </w:pPr>
      <w:r>
        <w:drawing>
          <wp:inline>
            <wp:extent cx="5212080" cy="6812280"/>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11"/>
                    <a:stretch>
                      <a:fillRect/>
                    </a:stretch>
                  </pic:blipFill>
                  <pic:spPr bwMode="auto">
                    <a:xfrm>
                      <a:off x="0" y="0"/>
                      <a:ext cx="5212080" cy="6812280"/>
                    </a:xfrm>
                    <a:prstGeom prst="rect">
                      <a:avLst/>
                    </a:prstGeom>
                    <a:noFill/>
                    <a:ln w="9525">
                      <a:noFill/>
                      <a:headEnd/>
                      <a:tailEnd/>
                    </a:ln>
                  </pic:spPr>
                </pic:pic>
              </a:graphicData>
            </a:graphic>
          </wp:inline>
        </w:drawing>
      </w:r>
      <w:r>
        <w:t xml:space="preserve"> </w:t>
      </w:r>
      <w:r>
        <w:t xml:space="preserve">Figure 7: Yearly trend over 20+ years of the TN:TP ratio (mean anomaly). Panel A. Yearly mean TN:TP ratio anomalies from the URI Watershed Watch dataset. Panel B. Yearly mean TN:TP ratio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Missing years had insufficient data to calculate mean and standard deviation and an asterisk indicates year with only 3 sites and error bars are the range of the data.</w:t>
      </w:r>
    </w:p>
    <w:p>
      <w:pPr>
        <w:pStyle w:val="Heading6"/>
      </w:pPr>
      <w:bookmarkStart w:id="112" w:name="section-8"/>
      <w:bookmarkEnd w:id="112"/>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data.jpg" id="0" name="Picture"/>
                    <pic:cNvPicPr>
                      <a:picLocks noChangeArrowheads="1" noChangeAspect="1"/>
                    </pic:cNvPicPr>
                  </pic:nvPicPr>
                  <pic:blipFill>
                    <a:blip r:embed="rId11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8: Simulated, random data showing example of sites with a low site early in a time preiod, a high site late in a time period, and one site measured across the time period.</w:t>
      </w:r>
    </w:p>
    <w:p>
      <w:pPr>
        <w:pStyle w:val="Heading6"/>
      </w:pPr>
      <w:bookmarkStart w:id="114" w:name="section-9"/>
      <w:bookmarkEnd w:id="114"/>
    </w:p>
    <w:p>
      <w:pPr>
        <w:pStyle w:val="FirstParagraph"/>
      </w:pPr>
      <w:r>
        <w:drawing>
          <wp:inline>
            <wp:extent cx="5943600" cy="4457700"/>
            <wp:effectExtent b="0" l="0" r="0" t="0"/>
            <wp:docPr descr="" title="" id="1" name="Picture"/>
            <a:graphic>
              <a:graphicData uri="http://schemas.openxmlformats.org/drawingml/2006/picture">
                <pic:pic>
                  <pic:nvPicPr>
                    <pic:cNvPr descr="../../figures/simulated_analysis.jpg" id="0" name="Picture"/>
                    <pic:cNvPicPr>
                      <a:picLocks noChangeArrowheads="1" noChangeAspect="1"/>
                    </pic:cNvPicPr>
                  </pic:nvPicPr>
                  <pic:blipFill>
                    <a:blip r:embed="rId115"/>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 xml:space="preserve">Figure 9: Analysis of simulated, random data with a low site early in a time preiod, a high site late in a time period, and one site measured across the time period. Yearly average of the actual values is shown in red and yearly average of the site-specific anomalies is shown in blue.</w:t>
      </w:r>
    </w:p>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11" Target="media/rId111.jpg" /><Relationship Type="http://schemas.openxmlformats.org/officeDocument/2006/relationships/image" Id="rId107" Target="media/rId107.jpg" /><Relationship Type="http://schemas.openxmlformats.org/officeDocument/2006/relationships/image" Id="rId109" Target="media/rId109.jpg" /><Relationship Type="http://schemas.openxmlformats.org/officeDocument/2006/relationships/image" Id="rId115" Target="media/rId115.jpg" /><Relationship Type="http://schemas.openxmlformats.org/officeDocument/2006/relationships/image" Id="rId113" Target="media/rId113.jpg" /><Relationship Type="http://schemas.openxmlformats.org/officeDocument/2006/relationships/image" Id="rId99" Target="media/rId99.jpg" /><Relationship Type="http://schemas.openxmlformats.org/officeDocument/2006/relationships/image" Id="rId103" Target="media/rId103.jpg" /><Relationship Type="http://schemas.openxmlformats.org/officeDocument/2006/relationships/hyperlink" Id="rId83"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83"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25</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and comparing long-term water quality of lakes and reservoirs in Rhode Island and the Northeastern United States using an anomaly approach</dc:title>
  <dc:creator>1 US Environmental Protection Agency, Office Of Research and Development, Atlantic Coastal Environmental Sciences Division, Narragansett, RI 02882; 2 University of Rhode Island, Department of Natural Resources Science, Kingston, RI 02881; 3 ORISE, Narragansett, RI 02882; Authors: Hollister. J. W. * 1, Kellogg, D. Q. 2, Kreakie, B. J. 1, Shivers, S. 3, Milstead, W. B. 1, Herron, E. 2, Green, L. 2, Gold, A. 2; Corresponding author: hollister.jeff@epa.gov</dc:creator>
  <cp:keywords/>
  <dcterms:created xsi:type="dcterms:W3CDTF">2020-08-28T15:51:03Z</dcterms:created>
  <dcterms:modified xsi:type="dcterms:W3CDTF">2020-08-28T15:51:03Z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scales, respectively. We assess regional (LAGOSNE) and state (URIWW) trends with yearly mean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algal biomass, as measured by chlorophyll a in Rhode Island lakes and reservoirs is increasing, despite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anomalies for analyzing for long-term water quality trends.Keywords: Volunteer Monitoring, Citizen Science, Nutrients, Lakes, Trend Analysis, Long Term</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